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06</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w:t>
      </w:r>
      <w:r>
        <w:rPr>
          <w:rFonts w:hint="eastAsia" w:ascii="仿宋_GB2312" w:hAnsi="仿宋_GB2312" w:eastAsia="仿宋_GB2312" w:cs="仿宋_GB2312"/>
          <w:sz w:val="32"/>
          <w:szCs w:val="24"/>
        </w:rPr>
        <w:t>黄石经济技术开发区·铁山区公共资源交易中心</w:t>
      </w:r>
      <w:r>
        <w:rPr>
          <w:rFonts w:hint="eastAsia" w:ascii="Times New Roman" w:hAnsi="Times New Roman" w:eastAsia="仿宋_GB2312" w:cs="Times New Roman"/>
          <w:sz w:val="32"/>
          <w:szCs w:val="32"/>
        </w:rPr>
        <w:t>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25453BD">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494"/>
        <w:gridCol w:w="1095"/>
        <w:gridCol w:w="768"/>
        <w:gridCol w:w="605"/>
        <w:gridCol w:w="735"/>
        <w:gridCol w:w="778"/>
        <w:gridCol w:w="750"/>
        <w:gridCol w:w="714"/>
        <w:gridCol w:w="767"/>
      </w:tblGrid>
      <w:tr w14:paraId="17399AE0">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C9B6FB">
            <w:pPr>
              <w:spacing w:line="220" w:lineRule="exact"/>
              <w:jc w:val="center"/>
              <w:rPr>
                <w:spacing w:val="-8"/>
                <w:sz w:val="18"/>
                <w:szCs w:val="18"/>
              </w:rPr>
            </w:pPr>
            <w:r>
              <w:rPr>
                <w:spacing w:val="-8"/>
                <w:sz w:val="18"/>
                <w:szCs w:val="18"/>
              </w:rPr>
              <w:t>地块</w:t>
            </w:r>
          </w:p>
          <w:p w14:paraId="35C0D772">
            <w:pPr>
              <w:spacing w:line="220" w:lineRule="exact"/>
              <w:jc w:val="center"/>
              <w:rPr>
                <w:rFonts w:hint="eastAsia"/>
              </w:rPr>
            </w:pPr>
            <w:r>
              <w:rPr>
                <w:spacing w:val="-8"/>
                <w:sz w:val="18"/>
                <w:szCs w:val="18"/>
              </w:rPr>
              <w:t>编号</w:t>
            </w:r>
          </w:p>
        </w:tc>
        <w:tc>
          <w:tcPr>
            <w:tcW w:w="149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1798A2">
            <w:pPr>
              <w:spacing w:line="220" w:lineRule="exact"/>
              <w:jc w:val="center"/>
              <w:rPr>
                <w:spacing w:val="-8"/>
                <w:sz w:val="18"/>
                <w:szCs w:val="18"/>
              </w:rPr>
            </w:pPr>
            <w:r>
              <w:rPr>
                <w:spacing w:val="-8"/>
                <w:sz w:val="18"/>
                <w:szCs w:val="18"/>
              </w:rPr>
              <w:t>土地坐落</w:t>
            </w:r>
          </w:p>
        </w:tc>
        <w:tc>
          <w:tcPr>
            <w:tcW w:w="1095" w:type="dxa"/>
            <w:vMerge w:val="restart"/>
            <w:tcBorders>
              <w:top w:val="single" w:color="auto" w:sz="4" w:space="0"/>
              <w:left w:val="single" w:color="auto" w:sz="4" w:space="0"/>
              <w:right w:val="single" w:color="auto" w:sz="4" w:space="0"/>
            </w:tcBorders>
            <w:noWrap w:val="0"/>
            <w:vAlign w:val="center"/>
          </w:tcPr>
          <w:p w14:paraId="3484B88C">
            <w:pPr>
              <w:spacing w:line="220" w:lineRule="exact"/>
              <w:jc w:val="center"/>
              <w:rPr>
                <w:sz w:val="18"/>
                <w:szCs w:val="18"/>
              </w:rPr>
            </w:pPr>
            <w:r>
              <w:rPr>
                <w:sz w:val="18"/>
                <w:szCs w:val="18"/>
              </w:rPr>
              <w:t>出让面积(㎡)</w:t>
            </w:r>
          </w:p>
        </w:tc>
        <w:tc>
          <w:tcPr>
            <w:tcW w:w="768"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8A5276">
            <w:pPr>
              <w:spacing w:line="220" w:lineRule="exact"/>
              <w:jc w:val="center"/>
              <w:rPr>
                <w:sz w:val="18"/>
                <w:szCs w:val="18"/>
              </w:rPr>
            </w:pPr>
            <w:r>
              <w:rPr>
                <w:sz w:val="18"/>
                <w:szCs w:val="18"/>
              </w:rPr>
              <w:t>土地</w:t>
            </w:r>
          </w:p>
          <w:p w14:paraId="625D2BF5">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750A678">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27F0557B">
            <w:pPr>
              <w:spacing w:line="220" w:lineRule="exact"/>
              <w:jc w:val="center"/>
              <w:rPr>
                <w:sz w:val="18"/>
                <w:szCs w:val="18"/>
              </w:rPr>
            </w:pPr>
            <w:r>
              <w:rPr>
                <w:sz w:val="18"/>
                <w:szCs w:val="18"/>
              </w:rPr>
              <w:t>出让</w:t>
            </w:r>
          </w:p>
          <w:p w14:paraId="5A0E6F83">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E6F764E">
            <w:pPr>
              <w:spacing w:line="220" w:lineRule="exact"/>
              <w:jc w:val="center"/>
              <w:rPr>
                <w:sz w:val="18"/>
                <w:szCs w:val="18"/>
              </w:rPr>
            </w:pPr>
            <w:r>
              <w:rPr>
                <w:sz w:val="18"/>
                <w:szCs w:val="18"/>
              </w:rPr>
              <w:t>竞买</w:t>
            </w:r>
          </w:p>
          <w:p w14:paraId="56502107">
            <w:pPr>
              <w:spacing w:line="220" w:lineRule="exact"/>
              <w:jc w:val="center"/>
              <w:rPr>
                <w:sz w:val="18"/>
                <w:szCs w:val="18"/>
              </w:rPr>
            </w:pPr>
            <w:r>
              <w:rPr>
                <w:sz w:val="18"/>
                <w:szCs w:val="18"/>
              </w:rPr>
              <w:t>保证金</w:t>
            </w:r>
          </w:p>
          <w:p w14:paraId="4B853751">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8526AA3">
            <w:pPr>
              <w:spacing w:line="220" w:lineRule="exact"/>
              <w:jc w:val="center"/>
              <w:rPr>
                <w:sz w:val="18"/>
                <w:szCs w:val="18"/>
              </w:rPr>
            </w:pPr>
            <w:r>
              <w:rPr>
                <w:sz w:val="18"/>
                <w:szCs w:val="18"/>
              </w:rPr>
              <w:t>挂牌</w:t>
            </w:r>
          </w:p>
          <w:p w14:paraId="0A2AD46A">
            <w:pPr>
              <w:spacing w:line="220" w:lineRule="exact"/>
              <w:jc w:val="center"/>
              <w:rPr>
                <w:sz w:val="18"/>
                <w:szCs w:val="18"/>
              </w:rPr>
            </w:pPr>
            <w:r>
              <w:rPr>
                <w:sz w:val="18"/>
                <w:szCs w:val="18"/>
              </w:rPr>
              <w:t>起始价</w:t>
            </w:r>
          </w:p>
          <w:p w14:paraId="5605E7F9">
            <w:pPr>
              <w:spacing w:line="220" w:lineRule="exact"/>
              <w:jc w:val="center"/>
              <w:rPr>
                <w:sz w:val="18"/>
                <w:szCs w:val="18"/>
              </w:rPr>
            </w:pPr>
            <w:r>
              <w:rPr>
                <w:sz w:val="18"/>
                <w:szCs w:val="18"/>
              </w:rPr>
              <w:t>(万元)</w:t>
            </w:r>
          </w:p>
        </w:tc>
      </w:tr>
      <w:tr w14:paraId="73963C31">
        <w:tblPrEx>
          <w:tblCellMar>
            <w:top w:w="0" w:type="dxa"/>
            <w:left w:w="0" w:type="dxa"/>
            <w:bottom w:w="0" w:type="dxa"/>
            <w:right w:w="0" w:type="dxa"/>
          </w:tblCellMar>
        </w:tblPrEx>
        <w:trPr>
          <w:cantSplit/>
          <w:trHeight w:val="70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307698A3">
            <w:pPr>
              <w:widowControl/>
              <w:spacing w:line="220" w:lineRule="exact"/>
              <w:jc w:val="left"/>
              <w:rPr>
                <w:sz w:val="18"/>
                <w:szCs w:val="18"/>
              </w:rPr>
            </w:pPr>
          </w:p>
        </w:tc>
        <w:tc>
          <w:tcPr>
            <w:tcW w:w="1494" w:type="dxa"/>
            <w:vMerge w:val="continue"/>
            <w:tcBorders>
              <w:top w:val="single" w:color="auto" w:sz="4" w:space="0"/>
              <w:left w:val="nil"/>
              <w:bottom w:val="single" w:color="auto" w:sz="4" w:space="0"/>
              <w:right w:val="single" w:color="auto" w:sz="4" w:space="0"/>
            </w:tcBorders>
            <w:noWrap w:val="0"/>
            <w:vAlign w:val="center"/>
          </w:tcPr>
          <w:p w14:paraId="05C9F70A">
            <w:pPr>
              <w:widowControl/>
              <w:spacing w:line="220" w:lineRule="exact"/>
              <w:jc w:val="left"/>
              <w:rPr>
                <w:sz w:val="18"/>
                <w:szCs w:val="18"/>
              </w:rPr>
            </w:pPr>
          </w:p>
        </w:tc>
        <w:tc>
          <w:tcPr>
            <w:tcW w:w="1095" w:type="dxa"/>
            <w:vMerge w:val="continue"/>
            <w:tcBorders>
              <w:left w:val="single" w:color="auto" w:sz="4" w:space="0"/>
              <w:bottom w:val="single" w:color="auto" w:sz="4" w:space="0"/>
              <w:right w:val="single" w:color="auto" w:sz="4" w:space="0"/>
            </w:tcBorders>
            <w:noWrap w:val="0"/>
            <w:vAlign w:val="center"/>
          </w:tcPr>
          <w:p w14:paraId="6310CE97">
            <w:pPr>
              <w:widowControl/>
              <w:spacing w:line="220" w:lineRule="exact"/>
              <w:jc w:val="center"/>
              <w:rPr>
                <w:sz w:val="18"/>
                <w:szCs w:val="18"/>
              </w:rPr>
            </w:pPr>
          </w:p>
        </w:tc>
        <w:tc>
          <w:tcPr>
            <w:tcW w:w="768" w:type="dxa"/>
            <w:vMerge w:val="continue"/>
            <w:tcBorders>
              <w:top w:val="single" w:color="auto" w:sz="4" w:space="0"/>
              <w:left w:val="single" w:color="auto" w:sz="4" w:space="0"/>
              <w:bottom w:val="single" w:color="auto" w:sz="4" w:space="0"/>
              <w:right w:val="single" w:color="auto" w:sz="4" w:space="0"/>
            </w:tcBorders>
            <w:noWrap w:val="0"/>
            <w:vAlign w:val="center"/>
          </w:tcPr>
          <w:p w14:paraId="172D4BF5">
            <w:pPr>
              <w:widowControl/>
              <w:spacing w:line="220" w:lineRule="exact"/>
              <w:jc w:val="left"/>
              <w:rPr>
                <w:sz w:val="18"/>
                <w:szCs w:val="18"/>
              </w:rPr>
            </w:pPr>
          </w:p>
        </w:tc>
        <w:tc>
          <w:tcPr>
            <w:tcW w:w="60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7E1A84D">
            <w:pPr>
              <w:spacing w:line="220" w:lineRule="exact"/>
              <w:jc w:val="center"/>
              <w:rPr>
                <w:sz w:val="18"/>
                <w:szCs w:val="18"/>
              </w:rPr>
            </w:pPr>
            <w:r>
              <w:rPr>
                <w:sz w:val="18"/>
                <w:szCs w:val="18"/>
              </w:rPr>
              <w:t>容积率</w:t>
            </w:r>
          </w:p>
        </w:tc>
        <w:tc>
          <w:tcPr>
            <w:tcW w:w="73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AC2144F">
            <w:pPr>
              <w:spacing w:line="220" w:lineRule="exact"/>
              <w:ind w:firstLine="90" w:firstLineChars="50"/>
              <w:rPr>
                <w:sz w:val="18"/>
                <w:szCs w:val="18"/>
              </w:rPr>
            </w:pPr>
            <w:r>
              <w:rPr>
                <w:sz w:val="18"/>
                <w:szCs w:val="18"/>
              </w:rPr>
              <w:t>建筑</w:t>
            </w:r>
          </w:p>
          <w:p w14:paraId="7270DEC7">
            <w:pPr>
              <w:spacing w:line="220" w:lineRule="exact"/>
              <w:jc w:val="center"/>
              <w:rPr>
                <w:sz w:val="18"/>
                <w:szCs w:val="18"/>
              </w:rPr>
            </w:pPr>
            <w:r>
              <w:rPr>
                <w:sz w:val="18"/>
                <w:szCs w:val="18"/>
              </w:rPr>
              <w:t>密度(%)</w:t>
            </w:r>
          </w:p>
        </w:tc>
        <w:tc>
          <w:tcPr>
            <w:tcW w:w="7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AD4BFB4">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119243A6">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6A978D2B">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431EB51B">
            <w:pPr>
              <w:widowControl/>
              <w:spacing w:line="220" w:lineRule="exact"/>
              <w:jc w:val="left"/>
              <w:rPr>
                <w:sz w:val="18"/>
                <w:szCs w:val="18"/>
              </w:rPr>
            </w:pPr>
          </w:p>
        </w:tc>
      </w:tr>
      <w:tr w14:paraId="6C0E8B0F">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77D9474F">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HG2</w:t>
            </w:r>
            <w:r>
              <w:rPr>
                <w:rFonts w:hint="default" w:ascii="Times New Roman" w:hAnsi="Times New Roman" w:cs="Times New Roman"/>
                <w:spacing w:val="-8"/>
                <w:sz w:val="18"/>
                <w:szCs w:val="18"/>
              </w:rPr>
              <w:t>6008</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4678C543">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A</w:t>
            </w:r>
            <w:r>
              <w:rPr>
                <w:rFonts w:hint="default" w:ascii="Times New Roman" w:hAnsi="Times New Roman" w:cs="Times New Roman"/>
                <w:spacing w:val="-8"/>
                <w:sz w:val="18"/>
                <w:szCs w:val="18"/>
              </w:rPr>
              <w:t>6</w:t>
            </w:r>
            <w:r>
              <w:rPr>
                <w:rFonts w:hint="eastAsia" w:ascii="Times New Roman" w:hAnsi="Times New Roman" w:cs="Times New Roman"/>
                <w:spacing w:val="-8"/>
                <w:sz w:val="18"/>
                <w:szCs w:val="18"/>
              </w:rPr>
              <w:t>路以西规划一路以东地块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AF85AF6">
            <w:pPr>
              <w:spacing w:line="220" w:lineRule="exact"/>
              <w:jc w:val="center"/>
              <w:rPr>
                <w:rFonts w:hint="eastAsia"/>
                <w:sz w:val="18"/>
                <w:szCs w:val="18"/>
                <w:lang w:val="en-US" w:eastAsia="zh-CN"/>
              </w:rPr>
            </w:pPr>
            <w:r>
              <w:rPr>
                <w:rFonts w:hint="default" w:ascii="Times New Roman" w:hAnsi="Times New Roman" w:cs="Times New Roman"/>
                <w:spacing w:val="-8"/>
                <w:sz w:val="18"/>
                <w:szCs w:val="18"/>
              </w:rPr>
              <w:t>8682.5</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BA86E9A">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工业用地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490F">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≥1.</w:t>
            </w:r>
            <w:r>
              <w:rPr>
                <w:rFonts w:hint="default" w:ascii="Times New Roman" w:hAnsi="Times New Roman" w:cs="Times New Roman"/>
                <w:spacing w:val="-8"/>
                <w:sz w:val="18"/>
                <w:szCs w:val="18"/>
              </w:rPr>
              <w:t>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505FAE">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w:t>
            </w:r>
            <w:r>
              <w:rPr>
                <w:rFonts w:hint="default" w:ascii="Times New Roman" w:hAnsi="Times New Roman" w:cs="Times New Roman"/>
                <w:spacing w:val="-8"/>
                <w:sz w:val="18"/>
                <w:szCs w:val="18"/>
              </w:rPr>
              <w:t>15</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05718A">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w:t>
            </w:r>
            <w:r>
              <w:rPr>
                <w:rFonts w:hint="default" w:ascii="Times New Roman" w:hAnsi="Times New Roman" w:cs="Times New Roman"/>
                <w:spacing w:val="-8"/>
                <w:sz w:val="18"/>
                <w:szCs w:val="18"/>
              </w:rPr>
              <w:t>4</w:t>
            </w:r>
            <w:r>
              <w:rPr>
                <w:rFonts w:hint="eastAsia" w:ascii="Times New Roman" w:hAnsi="Times New Roman" w:cs="Times New Roman"/>
                <w:spacing w:val="-8"/>
                <w:sz w:val="18"/>
                <w:szCs w:val="18"/>
              </w:rPr>
              <w:t>0</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C7DB18">
            <w:pPr>
              <w:spacing w:line="220" w:lineRule="exact"/>
              <w:jc w:val="center"/>
              <w:rPr>
                <w:rFonts w:hint="eastAsia"/>
                <w:sz w:val="18"/>
                <w:szCs w:val="18"/>
                <w:lang w:val="en-US" w:eastAsia="zh-CN"/>
              </w:rPr>
            </w:pPr>
            <w:r>
              <w:rPr>
                <w:rFonts w:hint="eastAsia" w:ascii="Times New Roman" w:hAnsi="Times New Roman" w:cs="Times New Roman"/>
                <w:spacing w:val="-8"/>
                <w:sz w:val="18"/>
                <w:szCs w:val="18"/>
              </w:rPr>
              <w:t>工业</w:t>
            </w:r>
            <w:r>
              <w:rPr>
                <w:rFonts w:hint="default" w:ascii="Times New Roman" w:hAnsi="Times New Roman" w:cs="Times New Roman"/>
                <w:spacing w:val="-8"/>
                <w:sz w:val="18"/>
                <w:szCs w:val="18"/>
              </w:rPr>
              <w:t>2</w:t>
            </w:r>
            <w:r>
              <w:rPr>
                <w:rFonts w:hint="eastAsia" w:ascii="Times New Roman" w:hAnsi="Times New Roman" w:cs="Times New Roman"/>
                <w:spacing w:val="-8"/>
                <w:sz w:val="18"/>
                <w:szCs w:val="18"/>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4CDCDA87">
            <w:pPr>
              <w:spacing w:line="220" w:lineRule="exact"/>
              <w:jc w:val="center"/>
              <w:rPr>
                <w:rFonts w:hint="eastAsia"/>
                <w:sz w:val="18"/>
                <w:szCs w:val="18"/>
                <w:lang w:val="en-US" w:eastAsia="zh-CN"/>
              </w:rPr>
            </w:pPr>
            <w:r>
              <w:rPr>
                <w:rFonts w:hint="default" w:ascii="Times New Roman" w:hAnsi="Times New Roman" w:cs="Times New Roman"/>
                <w:spacing w:val="-8"/>
                <w:sz w:val="18"/>
                <w:szCs w:val="18"/>
              </w:rPr>
              <w:t>62</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2DD75EB3">
            <w:pPr>
              <w:spacing w:line="220" w:lineRule="exact"/>
              <w:jc w:val="center"/>
              <w:rPr>
                <w:rFonts w:hint="eastAsia"/>
                <w:sz w:val="18"/>
                <w:szCs w:val="18"/>
                <w:lang w:val="en-US" w:eastAsia="zh-CN"/>
              </w:rPr>
            </w:pPr>
            <w:r>
              <w:rPr>
                <w:rFonts w:hint="default" w:ascii="Times New Roman" w:hAnsi="Times New Roman" w:cs="Times New Roman"/>
                <w:spacing w:val="-8"/>
                <w:sz w:val="18"/>
                <w:szCs w:val="18"/>
              </w:rPr>
              <w:t>124</w:t>
            </w:r>
          </w:p>
        </w:tc>
      </w:tr>
    </w:tbl>
    <w:p w14:paraId="646DB48F">
      <w:pPr>
        <w:keepNext w:val="0"/>
        <w:keepLines w:val="0"/>
        <w:pageBreakBefore w:val="0"/>
        <w:kinsoku/>
        <w:wordWrap/>
        <w:overflowPunct/>
        <w:autoSpaceDE/>
        <w:autoSpaceDN/>
        <w:bidi w:val="0"/>
        <w:adjustRightInd/>
        <w:spacing w:line="540" w:lineRule="exact"/>
        <w:ind w:firstLine="640" w:firstLineChars="200"/>
        <w:textAlignment w:val="auto"/>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55ACF829">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铁山区政府负责。宗地涉及的契税、印花税由竞得人按规定缴纳。</w:t>
      </w:r>
    </w:p>
    <w:p w14:paraId="503082FB">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784D5996">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铁山区政府负责。</w:t>
      </w:r>
    </w:p>
    <w:p w14:paraId="28104F37">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26008地块竞得人必须严格按照黄石市自然资源和规划局出具规划条件要求进行开发建设，土地出让金自《国有土地使用权出让合同》签订之日起30天内缴清。受让人宗地所涉及的契税、印花税没有纳入土地出让价款，由竞得者在土地出让合同签订之日起1个月内缴清。HG26008号地块土地成交后竞得人需出具《“标准地”企业信用承诺书》与黄石经济技术开发区·铁山区民营企业发展促进中心签订《企业投资工业项目“标准地”投资建设合同》，竟得企业提供供地申请等相关资料，再按程序签订《国有建设用地使用权出让合同》，并在签订出让合同后10个工作日内建立“建设项目信息公示牌”，公示牌具体规格及公示内容由自然资源和规划部门另行告知。</w:t>
      </w:r>
    </w:p>
    <w:p w14:paraId="7CEBF29F">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（五）HG26008号地块“标准地”增加约定条款：</w:t>
      </w:r>
    </w:p>
    <w:p w14:paraId="76BA1937">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行业及投资条件：固定资产投资强度≥300万元/亩，土地税收≥25万元/亩，土地出让 签订后一年内开工，开竣工时间不超过2年。</w:t>
      </w:r>
    </w:p>
    <w:p w14:paraId="403CAEF9">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环保条件：项目排放的各类污染物必须达到国家及地方排放标准，且排放污水必须经过预处理后进入污水处理厂进一步处理。项目必须在周围敏感点（学校、福利院、居民区等）设置环境保护距离。</w:t>
      </w:r>
    </w:p>
    <w:p w14:paraId="26A8CD15">
      <w:pPr>
        <w:keepNext w:val="0"/>
        <w:keepLines w:val="0"/>
        <w:pageBreakBefore w:val="0"/>
        <w:widowControl/>
        <w:numPr>
          <w:ilvl w:val="0"/>
          <w:numId w:val="1"/>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上述宗地以现状挂牌出让，实际勘测交付面积与挂牌出让文件标明的出让面积差异率在1%以内的，面积差异不影响成交价款。</w:t>
      </w:r>
    </w:p>
    <w:p w14:paraId="78290E7A">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（七）受让人在工程施工时要做好地质灾害防治工作，确保人民生命财产安全和工程建设的地质安全。</w:t>
      </w:r>
    </w:p>
    <w:p w14:paraId="1DA231F3">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一）中华人民共和国境内外的个人、法人和其他组织，除法律法规另有规定外，均可申请参加，申请人可以单独申请，也可以联合申请。竞买申请人在参与网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cs="Times New Roman"/>
          <w:sz w:val="32"/>
          <w:szCs w:val="24"/>
        </w:rPr>
        <w:t>。</w:t>
      </w:r>
    </w:p>
    <w:p w14:paraId="2034BD4F">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hint="eastAsia" w:ascii="Times New Roman" w:hAnsi="Times New Roman" w:eastAsia="仿宋_GB2312" w:cs="Times New Roman"/>
          <w:sz w:val="32"/>
          <w:szCs w:val="24"/>
          <w:lang w:val="en-US" w:eastAsia="zh-CN"/>
        </w:rPr>
        <w:t>。</w:t>
      </w:r>
    </w:p>
    <w:p w14:paraId="1B42EF1C">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六、本次国有建设用地使用权挂牌出让只能在互联网上通过黄石市公共资源交易网交易信息“国有土地出让”中开发区·铁山区（中国银行）栏目国有土地网上交易系统进行。只有办理数字证书、通过网上注册、足额交纳竞买保证金的申请人，才能参加网上挂牌出让活动。</w:t>
      </w:r>
    </w:p>
    <w:p w14:paraId="41E29280">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只接受网上报名、网上竞买申请及报价。竞买人的网上竞买报价一经系统确认，不能修改或撤回。</w:t>
      </w:r>
    </w:p>
    <w:p w14:paraId="166D1A55">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不接受电话、邮寄、书面、口头等其他方式的竞买申请和报价。</w:t>
      </w:r>
    </w:p>
    <w:p w14:paraId="361F93FC">
      <w:pPr>
        <w:keepNext w:val="0"/>
        <w:keepLines w:val="0"/>
        <w:pageBreakBefore w:val="0"/>
        <w:widowControl/>
        <w:numPr>
          <w:ilvl w:val="0"/>
          <w:numId w:val="0"/>
        </w:numPr>
        <w:kinsoku/>
        <w:wordWrap/>
        <w:overflowPunct/>
        <w:autoSpaceDE/>
        <w:autoSpaceDN/>
        <w:bidi w:val="0"/>
        <w:adjustRightInd/>
        <w:spacing w:line="54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交纳竞买保证金的截止时间为2026年9月26日16时（收款单位：黄石经济技术开发区·铁山区公共资源交易中心；开户行：中国银行股份有限公司黄石分行；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14:paraId="497D5580">
      <w:pPr>
        <w:pStyle w:val="7"/>
        <w:keepNext w:val="0"/>
        <w:keepLines w:val="0"/>
        <w:pageBreakBefore w:val="0"/>
        <w:widowControl/>
        <w:kinsoku/>
        <w:wordWrap/>
        <w:overflowPunct/>
        <w:autoSpaceDE/>
        <w:autoSpaceDN/>
        <w:bidi w:val="0"/>
        <w:adjustRightInd/>
        <w:spacing w:line="540" w:lineRule="exact"/>
        <w:ind w:firstLine="640"/>
        <w:jc w:val="both"/>
        <w:textAlignment w:val="auto"/>
        <w:rPr>
          <w:rFonts w:ascii="Times New Roman" w:hAnsi="Times New Roman" w:eastAsia="仿宋_GB2312" w:cs="Times New Roman"/>
          <w:sz w:val="32"/>
          <w:szCs w:val="24"/>
        </w:rPr>
      </w:pPr>
      <w:r>
        <w:rPr>
          <w:rFonts w:hint="eastAsia" w:ascii="Times New Roman" w:hAnsi="Times New Roman" w:eastAsia="仿宋_GB2312"/>
          <w:kern w:val="2"/>
          <w:sz w:val="32"/>
          <w:szCs w:val="24"/>
          <w:lang w:val="en-US" w:eastAsia="zh-CN"/>
        </w:rPr>
        <w:t>竞买人保证金必须从单位账户汇出，在网上交易系统点</w:t>
      </w:r>
      <w:r>
        <w:rPr>
          <w:rFonts w:hint="eastAsia" w:ascii="仿宋_GB2312" w:hAnsi="仿宋_GB2312" w:eastAsia="仿宋_GB2312" w:cs="仿宋_GB2312"/>
          <w:kern w:val="2"/>
          <w:sz w:val="32"/>
          <w:szCs w:val="22"/>
          <w:lang w:val="en-US" w:eastAsia="zh-CN" w:bidi="ar-SA"/>
        </w:rPr>
        <w:t>击“申购”,通过交易系统在</w:t>
      </w:r>
      <w:r>
        <w:rPr>
          <w:rFonts w:hint="eastAsia" w:ascii="Times New Roman" w:hAnsi="Times New Roman" w:eastAsia="仿宋_GB2312" w:cs="Times New Roman"/>
          <w:kern w:val="2"/>
          <w:sz w:val="32"/>
          <w:szCs w:val="24"/>
          <w:lang w:val="en-US" w:eastAsia="zh-CN" w:bidi="ar-SA"/>
        </w:rPr>
        <w:t>2026年9月26日16时前</w:t>
      </w:r>
      <w:r>
        <w:rPr>
          <w:rFonts w:hint="eastAsia" w:ascii="Times New Roman" w:hAnsi="Times New Roman" w:eastAsia="仿宋_GB2312" w:cs="Times New Roman"/>
          <w:sz w:val="32"/>
          <w:szCs w:val="24"/>
        </w:rPr>
        <w:t>,</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Times New Roman" w:hAnsi="Times New Roman" w:eastAsia="仿宋_GB2312" w:cs="Times New Roman"/>
          <w:kern w:val="2"/>
          <w:sz w:val="32"/>
          <w:szCs w:val="24"/>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w:t>
      </w:r>
    </w:p>
    <w:p w14:paraId="18F62795">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（六）出让地块红线图；</w:t>
      </w:r>
    </w:p>
    <w:p w14:paraId="13592252">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4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4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40" w:lineRule="exact"/>
        <w:ind w:firstLine="576" w:firstLineChars="18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4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竞买人必须全面阅读有关网上挂牌出让文件，对挂牌文件及宗地现状有疑问的，可通过电话向开发区·铁山区公共资源交易中心咨询，开发区·铁山区公共资源交易中心及时就咨询事项给予答复（咨询电话：</w:t>
      </w:r>
      <w:r>
        <w:rPr>
          <w:rFonts w:hint="eastAsia" w:ascii="Times New Roman" w:hAnsi="Times New Roman" w:eastAsia="仿宋_GB2312" w:cs="Times New Roman"/>
          <w:kern w:val="2"/>
          <w:sz w:val="32"/>
          <w:szCs w:val="24"/>
          <w:lang w:val="en-US" w:eastAsia="zh-CN" w:bidi="ar-SA"/>
        </w:rPr>
        <w:t>6393488）。也可向黄石市自然资源和规划局开发区·铁山区分局及开发区·铁山区公共资源交易中心申请组织现场踏勘。</w:t>
      </w:r>
    </w:p>
    <w:p w14:paraId="1E0106D3">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十、本次挂牌出让活动有关时间具体如下：</w:t>
      </w:r>
    </w:p>
    <w:p w14:paraId="26ABF9C5">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1、挂牌起始时间：2026年9月17日上午10时；</w:t>
      </w:r>
    </w:p>
    <w:p w14:paraId="24D9DB1F">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2、挂牌截止时间：2026年9月28日上午10时。</w:t>
      </w:r>
    </w:p>
    <w:p w14:paraId="3F120E67">
      <w:pPr>
        <w:keepNext w:val="0"/>
        <w:keepLines w:val="0"/>
        <w:pageBreakBefore w:val="0"/>
        <w:widowControl w:val="0"/>
        <w:kinsoku/>
        <w:wordWrap/>
        <w:overflowPunct/>
        <w:autoSpaceDE/>
        <w:autoSpaceDN/>
        <w:bidi w:val="0"/>
        <w:adjustRightInd/>
        <w:spacing w:line="54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（二）在挂牌期内，有意竞买者通过注册申请并缴纳竞买保证金至指定账户后，取得竞买资格；</w:t>
      </w:r>
    </w:p>
    <w:p w14:paraId="0D8F6CDA">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（三）竞买人在挂牌期内参与竞买，报价经系统确认无误后即显示为当前报价；</w:t>
      </w:r>
    </w:p>
    <w:p w14:paraId="6E3E84AA">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（五）出让结果公布</w:t>
      </w:r>
    </w:p>
    <w:p w14:paraId="57F7CC24">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（一）宗地的竞买保证金为：</w:t>
      </w:r>
    </w:p>
    <w:p w14:paraId="056ED9A9">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HG26008号地块为人民币大写陆拾贰万元整（￥：  620000元）；</w:t>
      </w:r>
    </w:p>
    <w:p w14:paraId="66BF17D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 xml:space="preserve">（二）宗地的出让起始价、增价幅度 </w:t>
      </w:r>
    </w:p>
    <w:p w14:paraId="6633358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HG26008号地块：出让起始价为人民币大写壹佰贰拾肆万元整（￥：1240000元整）；</w:t>
      </w:r>
    </w:p>
    <w:p w14:paraId="2760E874">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增价幅度均为人民币大写壹拾万元或壹拾万元的整倍数。</w:t>
      </w:r>
    </w:p>
    <w:p w14:paraId="5F3396F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（三）初次报价不得低于起始价，初次报价后的每次报价应当比当前最高报价递增一个加价幅度，加价幅度不得小于本须知规定的增价幅度。</w:t>
      </w:r>
    </w:p>
    <w:p w14:paraId="5263474A">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（四）在报价期间，竞买人可多次报价。</w:t>
      </w:r>
    </w:p>
    <w:p w14:paraId="6165072C">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（五）竞买人通过系统提交的报价一经报出，不得撤回。</w:t>
      </w:r>
    </w:p>
    <w:p w14:paraId="5A0DD649">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（六）竞买人报价有下列情形之一的，为无效报价：</w:t>
      </w:r>
    </w:p>
    <w:p w14:paraId="09C9500D">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1、报价因竞买人网络故障未在挂牌报价期限内报价的；</w:t>
      </w:r>
    </w:p>
    <w:p w14:paraId="234E6923">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2、报价不符合报价规则的；</w:t>
      </w:r>
    </w:p>
    <w:p w14:paraId="3A4BA811">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3、报价与竞买文件不符的；</w:t>
      </w:r>
    </w:p>
    <w:p w14:paraId="3349F268">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4、报价不符合挂牌文件规定的其他情形的。</w:t>
      </w:r>
    </w:p>
    <w:p w14:paraId="667D2E85">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十三、注意事项</w:t>
      </w:r>
    </w:p>
    <w:p w14:paraId="095FAD6B">
      <w:pPr>
        <w:keepNext w:val="0"/>
        <w:keepLines w:val="0"/>
        <w:pageBreakBefore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申请人须全面阅读有关出让文件，如有疑问可以在出让活动开始日以前用书面或口头方式向黄石市自然资源和规划局开发区·铁山区分局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申请人竞得土地后，拟成立新公司进行开发建设的，应在申请书中明确新公司的出资构成、成立时间等内容。黄石市自然资源和规划局开发区·铁山区分局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黄石市自然资源和规划局开发区·铁山区分局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（三）本次公开出让地块均设有出让底价，在公开出让活动结束前须严格保密。</w:t>
      </w:r>
    </w:p>
    <w:p w14:paraId="379F764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（四）网上竞买报价一经提交，不可撤回。</w:t>
      </w:r>
    </w:p>
    <w:p w14:paraId="03C6498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确定竞得人后，竞得人与挂牌人签订《成交确认书》。委托他人代签的，应提交法定代表人亲笔签名并盖章的授权委托书。《成交确认书》对出让人和竞得人具有法律效力，出让人改变网上出让结果的，或者竞得人放弃竞得宗地的，应当承担法律责任。</w:t>
      </w:r>
    </w:p>
    <w:p w14:paraId="3DB41FD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（六）竞得人交纳的竞买保证金，出让成交后3个工作日内办理了《成交确认书》的，保证金转作受让地块的定金。未竞得人交纳的竞买保证金，在出让活动结束后5个工作日内予以退还，不计利息。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（七）竞得人与出让人签订《国有建设用地使用权出让合同》后，应当按出让合同约定支付出让成交价款。竞得人付清全部出让成交价款后，依法申请办理土地登记手续。</w:t>
      </w:r>
    </w:p>
    <w:p w14:paraId="15514AB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（八）挂牌期满，网上挂牌出让成交确认系统根据下列条件自动确定竞得人：</w:t>
      </w:r>
    </w:p>
    <w:p w14:paraId="09372ACC">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1、在挂牌期限内，只有一个竞买人报价，且报价等于或高于底价，挂牌成交；</w:t>
      </w:r>
    </w:p>
    <w:p w14:paraId="7C1195E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2、在挂牌期限内，有两个或者两个以上竞买人报价的，报价等于或高于底价，且出价最高者为竞得人；</w:t>
      </w:r>
    </w:p>
    <w:p w14:paraId="4B44A7C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3、在挂牌期限内，无应价者或竞买人的报价均低于底价的，挂牌不成交；</w:t>
      </w:r>
    </w:p>
    <w:p w14:paraId="77182172">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4、在挂牌期限截止前10分钟，竞买人必须在挂牌报价期间最少有一次报价，才能进入最后的限时报价；</w:t>
      </w:r>
    </w:p>
    <w:p w14:paraId="1782B25E">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7、本次公开出让地块均设有出让底价，在公开出让活动结束前须严格保密。</w:t>
      </w:r>
    </w:p>
    <w:p w14:paraId="5D5CA79E">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（九）有下列情形之一的，开发区·铁山区公共资源交易中心将中（终）止挂牌活动：</w:t>
      </w:r>
    </w:p>
    <w:p w14:paraId="3722EE14">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2、竞买人串通损害国家利益、社会利益或他人合法权益的；</w:t>
      </w:r>
    </w:p>
    <w:p w14:paraId="076AA853">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3、出让工作人员私下接触竞买人，足以影响公开出让公正性的；</w:t>
      </w:r>
    </w:p>
    <w:p w14:paraId="0E071301">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4、应当依法中（终）止公开出让活动的其他情形。</w:t>
      </w:r>
    </w:p>
    <w:p w14:paraId="42F91EA0">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（十）竞得人有下列行为的视为违约，视为违约，挂牌人可取消其竞得人资格，竞买保证金不予退还：</w:t>
      </w:r>
    </w:p>
    <w:p w14:paraId="4AAC19B2">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1、竞得人逾期或拒绝签订《成交确认书》的；</w:t>
      </w:r>
    </w:p>
    <w:p w14:paraId="474AF5B8">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2、竞得人逾期或拒绝签订《国有建设用地使用权出让合同》的；</w:t>
      </w:r>
    </w:p>
    <w:p w14:paraId="3842B4A2">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（十一）竞得人有下列行为之一的，竞得结果无效，造成损失的，应当依法承担赔偿责任：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24"/>
        </w:rPr>
      </w:pPr>
      <w:r>
        <w:rPr>
          <w:rFonts w:hint="eastAsia" w:ascii="Times New Roman" w:hAnsi="Times New Roman" w:eastAsia="仿宋_GB2312" w:cs="Times New Roman"/>
          <w:kern w:val="2"/>
          <w:sz w:val="32"/>
          <w:szCs w:val="24"/>
          <w:lang w:val="en-US" w:eastAsia="zh-CN" w:bidi="ar-SA"/>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40" w:lineRule="exact"/>
        <w:ind w:firstLine="320" w:firstLineChars="100"/>
        <w:jc w:val="both"/>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48D96385">
      <w:pPr>
        <w:keepNext w:val="0"/>
        <w:keepLines w:val="0"/>
        <w:pageBreakBefore w:val="0"/>
        <w:widowControl w:val="0"/>
        <w:kinsoku/>
        <w:wordWrap/>
        <w:overflowPunct/>
        <w:autoSpaceDE/>
        <w:autoSpaceDN/>
        <w:bidi w:val="0"/>
        <w:adjustRightInd/>
        <w:spacing w:line="540" w:lineRule="exact"/>
        <w:ind w:firstLine="320" w:firstLineChars="1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w:t>
      </w:r>
      <w:bookmarkStart w:id="0" w:name="_GoBack"/>
      <w:bookmarkEnd w:id="0"/>
      <w:r>
        <w:rPr>
          <w:rFonts w:hint="eastAsia" w:ascii="仿宋_GB2312" w:hAnsi="仿宋_GB2312" w:eastAsia="仿宋_GB2312" w:cs="仿宋_GB2312"/>
          <w:sz w:val="32"/>
          <w:szCs w:val="24"/>
        </w:rPr>
        <w:t>源交易中心</w:t>
      </w:r>
    </w:p>
    <w:p w14:paraId="5EF9F5FC">
      <w:pPr>
        <w:keepNext w:val="0"/>
        <w:keepLines w:val="0"/>
        <w:pageBreakBefore w:val="0"/>
        <w:widowControl w:val="0"/>
        <w:kinsoku/>
        <w:wordWrap/>
        <w:overflowPunct/>
        <w:autoSpaceDE/>
        <w:autoSpaceDN/>
        <w:bidi w:val="0"/>
        <w:adjustRightInd/>
        <w:spacing w:line="540" w:lineRule="exact"/>
        <w:ind w:firstLine="4800" w:firstLineChars="1500"/>
        <w:textAlignment w:val="auto"/>
        <w:rPr>
          <w:rFonts w:hint="eastAsia" w:ascii="仿宋_GB2312" w:hAnsi="仿宋_GB2312" w:eastAsia="仿宋_GB2312" w:cs="仿宋_GB2312"/>
          <w:sz w:val="32"/>
          <w:szCs w:val="24"/>
        </w:rPr>
      </w:pPr>
    </w:p>
    <w:p w14:paraId="50FE72C8">
      <w:pPr>
        <w:keepNext w:val="0"/>
        <w:keepLines w:val="0"/>
        <w:pageBreakBefore w:val="0"/>
        <w:widowControl w:val="0"/>
        <w:kinsoku/>
        <w:wordWrap/>
        <w:overflowPunct/>
        <w:topLinePunct/>
        <w:autoSpaceDE/>
        <w:autoSpaceDN/>
        <w:bidi w:val="0"/>
        <w:adjustRightInd/>
        <w:snapToGrid w:val="0"/>
        <w:spacing w:line="540" w:lineRule="exact"/>
        <w:ind w:firstLine="640" w:firstLineChars="200"/>
        <w:jc w:val="right"/>
        <w:textAlignment w:val="auto"/>
        <w:rPr>
          <w:rFonts w:ascii="Times New Roman" w:hAnsi="Times New Roman" w:eastAsia="仿宋_GB2312" w:cs="Times New Roman"/>
          <w:sz w:val="32"/>
          <w:szCs w:val="24"/>
        </w:rPr>
      </w:pPr>
      <w:r>
        <w:rPr>
          <w:rFonts w:hint="eastAsia" w:ascii="Times New Roman" w:hAnsi="Times New Roman" w:eastAsia="仿宋_GB2312" w:cs="Times New Roman"/>
          <w:kern w:val="2"/>
          <w:sz w:val="32"/>
          <w:szCs w:val="24"/>
          <w:lang w:val="en-US" w:eastAsia="zh-CN" w:bidi="ar-SA"/>
        </w:rPr>
        <w:t>2026年8月28日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3E81BC5"/>
    <w:multiLevelType w:val="singleLevel"/>
    <w:tmpl w:val="63E81BC5"/>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FBD2D33"/>
    <w:rsid w:val="0FE97C61"/>
    <w:rsid w:val="0FFC699D"/>
    <w:rsid w:val="14E626FA"/>
    <w:rsid w:val="170F61FF"/>
    <w:rsid w:val="1D144419"/>
    <w:rsid w:val="1F0B1E70"/>
    <w:rsid w:val="1FF42E04"/>
    <w:rsid w:val="21A34113"/>
    <w:rsid w:val="21D95D87"/>
    <w:rsid w:val="233419C8"/>
    <w:rsid w:val="234D1F10"/>
    <w:rsid w:val="26E86B9F"/>
    <w:rsid w:val="273807F7"/>
    <w:rsid w:val="2A1E615D"/>
    <w:rsid w:val="2BC929C8"/>
    <w:rsid w:val="2BD8775D"/>
    <w:rsid w:val="302C5C1C"/>
    <w:rsid w:val="317A07B3"/>
    <w:rsid w:val="375F127B"/>
    <w:rsid w:val="381551E7"/>
    <w:rsid w:val="3966114F"/>
    <w:rsid w:val="3EED793E"/>
    <w:rsid w:val="40A67D91"/>
    <w:rsid w:val="43182221"/>
    <w:rsid w:val="44120C62"/>
    <w:rsid w:val="49C268F4"/>
    <w:rsid w:val="4A1C41B3"/>
    <w:rsid w:val="4BFF5B3B"/>
    <w:rsid w:val="4DAC59AE"/>
    <w:rsid w:val="4F367AC5"/>
    <w:rsid w:val="517A638F"/>
    <w:rsid w:val="51CE66DB"/>
    <w:rsid w:val="526112FD"/>
    <w:rsid w:val="540E62EE"/>
    <w:rsid w:val="541A79B6"/>
    <w:rsid w:val="54C87412"/>
    <w:rsid w:val="5A1804F3"/>
    <w:rsid w:val="5B3203DE"/>
    <w:rsid w:val="5C3F0723"/>
    <w:rsid w:val="5C86208C"/>
    <w:rsid w:val="5D1A51E2"/>
    <w:rsid w:val="60A35F5F"/>
    <w:rsid w:val="60A94DEF"/>
    <w:rsid w:val="642108EC"/>
    <w:rsid w:val="661E1587"/>
    <w:rsid w:val="6703077D"/>
    <w:rsid w:val="672F3320"/>
    <w:rsid w:val="68E11452"/>
    <w:rsid w:val="68EF31E5"/>
    <w:rsid w:val="6A184540"/>
    <w:rsid w:val="6AD828AA"/>
    <w:rsid w:val="6C430463"/>
    <w:rsid w:val="7491538B"/>
    <w:rsid w:val="75E749C9"/>
    <w:rsid w:val="766906C3"/>
    <w:rsid w:val="78267E28"/>
    <w:rsid w:val="79580ABF"/>
    <w:rsid w:val="79BF0551"/>
    <w:rsid w:val="79E96935"/>
    <w:rsid w:val="7AC126DF"/>
    <w:rsid w:val="7F480FCB"/>
    <w:rsid w:val="7FA47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602</Words>
  <Characters>630</Characters>
  <Lines>47</Lines>
  <Paragraphs>13</Paragraphs>
  <TotalTime>0</TotalTime>
  <ScaleCrop>false</ScaleCrop>
  <LinksUpToDate>false</LinksUpToDate>
  <CharactersWithSpaces>630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区公共资源交易中心</cp:lastModifiedBy>
  <cp:lastPrinted>2026-07-10T03:05:00Z</cp:lastPrinted>
  <dcterms:modified xsi:type="dcterms:W3CDTF">2026-08-27T02:10:49Z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2052-12.1.0.28043</vt:lpwstr>
  </property>
  <property fmtid="{D5CDD505-2E9C-101B-9397-08002B2CF9AE}" pid="4" name="ICV">
    <vt:lpwstr>DE9A2EE126AA466697018884DA6F4EAD_13</vt:lpwstr>
  </property>
</Properties>
</file>