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1F656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黑体" w:hAnsi="黑体" w:eastAsia="黑体" w:cs="Times New Roman"/>
          <w:sz w:val="44"/>
          <w:szCs w:val="44"/>
        </w:rPr>
      </w:pPr>
      <w:r>
        <w:rPr>
          <w:rFonts w:hint="eastAsia" w:ascii="黑体" w:hAnsi="黑体" w:eastAsia="黑体" w:cs="Times New Roman"/>
          <w:sz w:val="44"/>
          <w:szCs w:val="44"/>
        </w:rPr>
        <w:t>国有建设用地使用权挂牌出让须知</w:t>
      </w:r>
    </w:p>
    <w:p w14:paraId="7869617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仿宋" w:hAnsi="仿宋" w:eastAsia="仿宋"/>
          <w:sz w:val="32"/>
          <w:szCs w:val="32"/>
        </w:rPr>
      </w:pPr>
      <w:r>
        <w:rPr>
          <w:rFonts w:hint="eastAsia" w:ascii="仿宋" w:hAnsi="仿宋" w:eastAsia="仿宋"/>
          <w:sz w:val="32"/>
          <w:szCs w:val="32"/>
        </w:rPr>
        <w:t>黄开土易告字〔202</w:t>
      </w:r>
      <w:r>
        <w:rPr>
          <w:rFonts w:hint="eastAsia" w:ascii="仿宋" w:hAnsi="仿宋" w:eastAsia="仿宋"/>
          <w:sz w:val="32"/>
          <w:szCs w:val="32"/>
          <w:lang w:val="en-US" w:eastAsia="zh-CN"/>
        </w:rPr>
        <w:t>6</w:t>
      </w:r>
      <w:r>
        <w:rPr>
          <w:rFonts w:hint="eastAsia" w:ascii="仿宋" w:hAnsi="仿宋" w:eastAsia="仿宋"/>
          <w:sz w:val="32"/>
          <w:szCs w:val="32"/>
        </w:rPr>
        <w:t>〕</w:t>
      </w:r>
      <w:r>
        <w:rPr>
          <w:rFonts w:hint="eastAsia" w:ascii="仿宋" w:hAnsi="仿宋" w:eastAsia="仿宋"/>
          <w:sz w:val="32"/>
          <w:szCs w:val="32"/>
          <w:lang w:val="en-US" w:eastAsia="zh-CN"/>
        </w:rPr>
        <w:t>10</w:t>
      </w:r>
      <w:r>
        <w:rPr>
          <w:rFonts w:hint="eastAsia" w:ascii="仿宋" w:hAnsi="仿宋" w:eastAsia="仿宋"/>
          <w:sz w:val="32"/>
          <w:szCs w:val="32"/>
        </w:rPr>
        <w:t>号</w:t>
      </w:r>
    </w:p>
    <w:p w14:paraId="07902AA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仿宋_GB2312" w:hAnsi="Times New Roman" w:eastAsia="仿宋_GB2312" w:cs="Times New Roman"/>
          <w:sz w:val="32"/>
          <w:szCs w:val="32"/>
        </w:rPr>
      </w:pPr>
    </w:p>
    <w:p w14:paraId="276433D5">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根据《中华人民共和国土地管理法》、《中华人民共和国城市房地产管理法》、《中华人民共和国城镇国有土地使用权出让和转让暂行条例》、《招标拍卖挂牌出让国有建设用地使用权规定》及《招标拍卖挂牌出让国有土地使用权规范》等有关规定，经黄石市开发区管委会</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rPr>
        <w:t>铁山区政府批准，</w:t>
      </w:r>
      <w:r>
        <w:rPr>
          <w:rFonts w:hint="eastAsia" w:ascii="仿宋_GB2312" w:hAnsi="仿宋_GB2312" w:eastAsia="仿宋_GB2312" w:cs="仿宋_GB2312"/>
          <w:sz w:val="32"/>
          <w:szCs w:val="24"/>
        </w:rPr>
        <w:t>黄石经济技术开发区·铁山区公共资源交易中心</w:t>
      </w:r>
      <w:r>
        <w:rPr>
          <w:rFonts w:hint="eastAsia" w:ascii="Times New Roman" w:hAnsi="Times New Roman" w:eastAsia="仿宋_GB2312" w:cs="Times New Roman"/>
          <w:sz w:val="32"/>
          <w:szCs w:val="32"/>
        </w:rPr>
        <w:t>根据黄石市自然资源和规划局开发区</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rPr>
        <w:t>铁山区分局的来函,决定以网上挂牌方式出让</w:t>
      </w:r>
      <w:r>
        <w:rPr>
          <w:rFonts w:hint="eastAsia" w:ascii="Times New Roman" w:hAnsi="Times New Roman" w:eastAsia="仿宋_GB2312" w:cs="Times New Roman"/>
          <w:sz w:val="32"/>
          <w:szCs w:val="32"/>
          <w:lang w:val="en-US" w:eastAsia="zh-CN"/>
        </w:rPr>
        <w:t>1</w:t>
      </w:r>
      <w:r>
        <w:rPr>
          <w:rFonts w:hint="eastAsia" w:ascii="Times New Roman" w:hAnsi="Times New Roman" w:eastAsia="仿宋_GB2312" w:cs="Times New Roman"/>
          <w:sz w:val="32"/>
          <w:szCs w:val="32"/>
        </w:rPr>
        <w:t>宗国有建设用地使用权。</w:t>
      </w:r>
    </w:p>
    <w:p w14:paraId="4C6D8CEC">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一、本次国有建设用地使用权挂牌出让的出让人为黄石市自然资源和规划开发区</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rPr>
        <w:t>铁山区分局，具体组织实施由黄石经济技术开发区</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rPr>
        <w:t>铁山区公共资源交易中心承办。</w:t>
      </w:r>
    </w:p>
    <w:p w14:paraId="125453BD">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_GB2312" w:cs="Times New Roman"/>
          <w:sz w:val="32"/>
          <w:szCs w:val="32"/>
        </w:rPr>
      </w:pPr>
      <w:r>
        <w:rPr>
          <w:rFonts w:hint="eastAsia" w:ascii="Times New Roman" w:hAnsi="Times New Roman" w:eastAsia="仿宋_GB2312" w:cs="Times New Roman"/>
          <w:sz w:val="32"/>
          <w:szCs w:val="32"/>
        </w:rPr>
        <w:t>二、本次国有建设用地使用权挂牌出让遵循公开、公平、公正和诚实信用原则。</w:t>
      </w:r>
    </w:p>
    <w:p w14:paraId="1D7F6953">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ascii="Times New Roman" w:hAnsi="Times New Roman" w:eastAsia="仿宋_GB2312" w:cs="Times New Roman"/>
          <w:sz w:val="32"/>
          <w:szCs w:val="32"/>
        </w:rPr>
      </w:pPr>
      <w:r>
        <w:rPr>
          <w:rFonts w:ascii="Times New Roman" w:hAnsi="Times New Roman" w:eastAsia="仿宋_GB2312" w:cs="Times New Roman"/>
          <w:sz w:val="32"/>
          <w:szCs w:val="32"/>
        </w:rPr>
        <w:t>三、出让地块基本情况及规划指标要求等：</w:t>
      </w:r>
    </w:p>
    <w:tbl>
      <w:tblPr>
        <w:tblStyle w:val="8"/>
        <w:tblW w:w="8525" w:type="dxa"/>
        <w:jc w:val="center"/>
        <w:tblLayout w:type="fixed"/>
        <w:tblCellMar>
          <w:top w:w="0" w:type="dxa"/>
          <w:left w:w="0" w:type="dxa"/>
          <w:bottom w:w="0" w:type="dxa"/>
          <w:right w:w="0" w:type="dxa"/>
        </w:tblCellMar>
      </w:tblPr>
      <w:tblGrid>
        <w:gridCol w:w="819"/>
        <w:gridCol w:w="1494"/>
        <w:gridCol w:w="1095"/>
        <w:gridCol w:w="768"/>
        <w:gridCol w:w="605"/>
        <w:gridCol w:w="735"/>
        <w:gridCol w:w="778"/>
        <w:gridCol w:w="750"/>
        <w:gridCol w:w="714"/>
        <w:gridCol w:w="767"/>
      </w:tblGrid>
      <w:tr w14:paraId="17399AE0">
        <w:tblPrEx>
          <w:tblCellMar>
            <w:top w:w="0" w:type="dxa"/>
            <w:left w:w="0" w:type="dxa"/>
            <w:bottom w:w="0" w:type="dxa"/>
            <w:right w:w="0" w:type="dxa"/>
          </w:tblCellMar>
        </w:tblPrEx>
        <w:trPr>
          <w:cantSplit/>
          <w:trHeight w:val="281" w:hRule="atLeast"/>
          <w:jc w:val="center"/>
        </w:trPr>
        <w:tc>
          <w:tcPr>
            <w:tcW w:w="819" w:type="dxa"/>
            <w:vMerge w:val="restar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DC9B6FB">
            <w:pPr>
              <w:spacing w:line="220" w:lineRule="exact"/>
              <w:jc w:val="center"/>
              <w:rPr>
                <w:spacing w:val="-8"/>
                <w:sz w:val="18"/>
                <w:szCs w:val="18"/>
              </w:rPr>
            </w:pPr>
            <w:r>
              <w:rPr>
                <w:spacing w:val="-8"/>
                <w:sz w:val="18"/>
                <w:szCs w:val="18"/>
              </w:rPr>
              <w:t>地块</w:t>
            </w:r>
          </w:p>
          <w:p w14:paraId="35C0D772">
            <w:pPr>
              <w:spacing w:line="220" w:lineRule="exact"/>
              <w:jc w:val="center"/>
              <w:rPr>
                <w:rFonts w:hint="eastAsia"/>
              </w:rPr>
            </w:pPr>
            <w:r>
              <w:rPr>
                <w:spacing w:val="-8"/>
                <w:sz w:val="18"/>
                <w:szCs w:val="18"/>
              </w:rPr>
              <w:t>编号</w:t>
            </w:r>
          </w:p>
        </w:tc>
        <w:tc>
          <w:tcPr>
            <w:tcW w:w="1494" w:type="dxa"/>
            <w:vMerge w:val="restar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771798A2">
            <w:pPr>
              <w:spacing w:line="220" w:lineRule="exact"/>
              <w:jc w:val="center"/>
              <w:rPr>
                <w:spacing w:val="-8"/>
                <w:sz w:val="18"/>
                <w:szCs w:val="18"/>
              </w:rPr>
            </w:pPr>
            <w:r>
              <w:rPr>
                <w:spacing w:val="-8"/>
                <w:sz w:val="18"/>
                <w:szCs w:val="18"/>
              </w:rPr>
              <w:t>土地坐落</w:t>
            </w:r>
          </w:p>
        </w:tc>
        <w:tc>
          <w:tcPr>
            <w:tcW w:w="1095" w:type="dxa"/>
            <w:vMerge w:val="restart"/>
            <w:tcBorders>
              <w:top w:val="single" w:color="auto" w:sz="4" w:space="0"/>
              <w:left w:val="single" w:color="auto" w:sz="4" w:space="0"/>
              <w:right w:val="single" w:color="auto" w:sz="4" w:space="0"/>
            </w:tcBorders>
            <w:noWrap w:val="0"/>
            <w:vAlign w:val="center"/>
          </w:tcPr>
          <w:p w14:paraId="3484B88C">
            <w:pPr>
              <w:spacing w:line="220" w:lineRule="exact"/>
              <w:jc w:val="center"/>
              <w:rPr>
                <w:sz w:val="18"/>
                <w:szCs w:val="18"/>
              </w:rPr>
            </w:pPr>
            <w:r>
              <w:rPr>
                <w:sz w:val="18"/>
                <w:szCs w:val="18"/>
              </w:rPr>
              <w:t>出让面积(㎡)</w:t>
            </w:r>
          </w:p>
        </w:tc>
        <w:tc>
          <w:tcPr>
            <w:tcW w:w="768" w:type="dxa"/>
            <w:vMerge w:val="restar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78A5276">
            <w:pPr>
              <w:spacing w:line="220" w:lineRule="exact"/>
              <w:jc w:val="center"/>
              <w:rPr>
                <w:sz w:val="18"/>
                <w:szCs w:val="18"/>
              </w:rPr>
            </w:pPr>
            <w:r>
              <w:rPr>
                <w:sz w:val="18"/>
                <w:szCs w:val="18"/>
              </w:rPr>
              <w:t>土地</w:t>
            </w:r>
          </w:p>
          <w:p w14:paraId="625D2BF5">
            <w:pPr>
              <w:spacing w:line="220" w:lineRule="exact"/>
              <w:jc w:val="center"/>
              <w:rPr>
                <w:sz w:val="18"/>
                <w:szCs w:val="18"/>
              </w:rPr>
            </w:pPr>
            <w:r>
              <w:rPr>
                <w:sz w:val="18"/>
                <w:szCs w:val="18"/>
              </w:rPr>
              <w:t>用途</w:t>
            </w:r>
          </w:p>
        </w:tc>
        <w:tc>
          <w:tcPr>
            <w:tcW w:w="2118" w:type="dxa"/>
            <w:gridSpan w:val="3"/>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1750A678">
            <w:pPr>
              <w:spacing w:line="220" w:lineRule="exact"/>
              <w:jc w:val="center"/>
              <w:rPr>
                <w:sz w:val="18"/>
                <w:szCs w:val="18"/>
              </w:rPr>
            </w:pPr>
            <w:r>
              <w:rPr>
                <w:sz w:val="18"/>
                <w:szCs w:val="18"/>
              </w:rPr>
              <w:t>规划指标要求</w:t>
            </w:r>
          </w:p>
        </w:tc>
        <w:tc>
          <w:tcPr>
            <w:tcW w:w="750" w:type="dxa"/>
            <w:vMerge w:val="restart"/>
            <w:tcBorders>
              <w:top w:val="single" w:color="auto" w:sz="4" w:space="0"/>
              <w:left w:val="nil"/>
              <w:right w:val="single" w:color="auto" w:sz="4" w:space="0"/>
            </w:tcBorders>
            <w:noWrap w:val="0"/>
            <w:vAlign w:val="center"/>
          </w:tcPr>
          <w:p w14:paraId="27F0557B">
            <w:pPr>
              <w:spacing w:line="220" w:lineRule="exact"/>
              <w:jc w:val="center"/>
              <w:rPr>
                <w:sz w:val="18"/>
                <w:szCs w:val="18"/>
              </w:rPr>
            </w:pPr>
            <w:r>
              <w:rPr>
                <w:sz w:val="18"/>
                <w:szCs w:val="18"/>
              </w:rPr>
              <w:t>出让</w:t>
            </w:r>
          </w:p>
          <w:p w14:paraId="5A0E6F83">
            <w:pPr>
              <w:spacing w:line="220" w:lineRule="exact"/>
              <w:ind w:firstLine="180" w:firstLineChars="100"/>
              <w:rPr>
                <w:sz w:val="18"/>
                <w:szCs w:val="18"/>
              </w:rPr>
            </w:pPr>
            <w:r>
              <w:rPr>
                <w:sz w:val="18"/>
                <w:szCs w:val="18"/>
              </w:rPr>
              <w:t>年限</w:t>
            </w:r>
          </w:p>
        </w:tc>
        <w:tc>
          <w:tcPr>
            <w:tcW w:w="714" w:type="dxa"/>
            <w:vMerge w:val="restar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0E6F764E">
            <w:pPr>
              <w:spacing w:line="220" w:lineRule="exact"/>
              <w:jc w:val="center"/>
              <w:rPr>
                <w:sz w:val="18"/>
                <w:szCs w:val="18"/>
              </w:rPr>
            </w:pPr>
            <w:r>
              <w:rPr>
                <w:sz w:val="18"/>
                <w:szCs w:val="18"/>
              </w:rPr>
              <w:t>竞买</w:t>
            </w:r>
          </w:p>
          <w:p w14:paraId="56502107">
            <w:pPr>
              <w:spacing w:line="220" w:lineRule="exact"/>
              <w:jc w:val="center"/>
              <w:rPr>
                <w:sz w:val="18"/>
                <w:szCs w:val="18"/>
              </w:rPr>
            </w:pPr>
            <w:r>
              <w:rPr>
                <w:sz w:val="18"/>
                <w:szCs w:val="18"/>
              </w:rPr>
              <w:t>保证金</w:t>
            </w:r>
          </w:p>
          <w:p w14:paraId="4B853751">
            <w:pPr>
              <w:spacing w:line="220" w:lineRule="exact"/>
              <w:jc w:val="center"/>
              <w:rPr>
                <w:sz w:val="18"/>
                <w:szCs w:val="18"/>
              </w:rPr>
            </w:pPr>
            <w:r>
              <w:rPr>
                <w:sz w:val="18"/>
                <w:szCs w:val="18"/>
              </w:rPr>
              <w:t>(万元)</w:t>
            </w:r>
          </w:p>
        </w:tc>
        <w:tc>
          <w:tcPr>
            <w:tcW w:w="767" w:type="dxa"/>
            <w:vMerge w:val="restar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8526AA3">
            <w:pPr>
              <w:spacing w:line="220" w:lineRule="exact"/>
              <w:jc w:val="center"/>
              <w:rPr>
                <w:sz w:val="18"/>
                <w:szCs w:val="18"/>
              </w:rPr>
            </w:pPr>
            <w:r>
              <w:rPr>
                <w:sz w:val="18"/>
                <w:szCs w:val="18"/>
              </w:rPr>
              <w:t>挂牌</w:t>
            </w:r>
          </w:p>
          <w:p w14:paraId="0A2AD46A">
            <w:pPr>
              <w:spacing w:line="220" w:lineRule="exact"/>
              <w:jc w:val="center"/>
              <w:rPr>
                <w:sz w:val="18"/>
                <w:szCs w:val="18"/>
              </w:rPr>
            </w:pPr>
            <w:r>
              <w:rPr>
                <w:sz w:val="18"/>
                <w:szCs w:val="18"/>
              </w:rPr>
              <w:t>起始价</w:t>
            </w:r>
          </w:p>
          <w:p w14:paraId="5605E7F9">
            <w:pPr>
              <w:spacing w:line="220" w:lineRule="exact"/>
              <w:jc w:val="center"/>
              <w:rPr>
                <w:sz w:val="18"/>
                <w:szCs w:val="18"/>
              </w:rPr>
            </w:pPr>
            <w:r>
              <w:rPr>
                <w:sz w:val="18"/>
                <w:szCs w:val="18"/>
              </w:rPr>
              <w:t>(万元)</w:t>
            </w:r>
          </w:p>
        </w:tc>
      </w:tr>
      <w:tr w14:paraId="73963C31">
        <w:tblPrEx>
          <w:tblCellMar>
            <w:top w:w="0" w:type="dxa"/>
            <w:left w:w="0" w:type="dxa"/>
            <w:bottom w:w="0" w:type="dxa"/>
            <w:right w:w="0" w:type="dxa"/>
          </w:tblCellMar>
        </w:tblPrEx>
        <w:trPr>
          <w:cantSplit/>
          <w:trHeight w:val="580" w:hRule="atLeast"/>
          <w:jc w:val="center"/>
        </w:trPr>
        <w:tc>
          <w:tcPr>
            <w:tcW w:w="819" w:type="dxa"/>
            <w:vMerge w:val="continue"/>
            <w:tcBorders>
              <w:top w:val="single" w:color="auto" w:sz="4" w:space="0"/>
              <w:left w:val="single" w:color="auto" w:sz="4" w:space="0"/>
              <w:bottom w:val="single" w:color="auto" w:sz="4" w:space="0"/>
              <w:right w:val="single" w:color="auto" w:sz="4" w:space="0"/>
            </w:tcBorders>
            <w:noWrap w:val="0"/>
            <w:vAlign w:val="center"/>
          </w:tcPr>
          <w:p w14:paraId="307698A3">
            <w:pPr>
              <w:widowControl/>
              <w:spacing w:line="220" w:lineRule="exact"/>
              <w:jc w:val="left"/>
              <w:rPr>
                <w:sz w:val="18"/>
                <w:szCs w:val="18"/>
              </w:rPr>
            </w:pPr>
          </w:p>
        </w:tc>
        <w:tc>
          <w:tcPr>
            <w:tcW w:w="1494" w:type="dxa"/>
            <w:vMerge w:val="continue"/>
            <w:tcBorders>
              <w:top w:val="single" w:color="auto" w:sz="4" w:space="0"/>
              <w:left w:val="nil"/>
              <w:bottom w:val="single" w:color="auto" w:sz="4" w:space="0"/>
              <w:right w:val="single" w:color="auto" w:sz="4" w:space="0"/>
            </w:tcBorders>
            <w:noWrap w:val="0"/>
            <w:vAlign w:val="center"/>
          </w:tcPr>
          <w:p w14:paraId="05C9F70A">
            <w:pPr>
              <w:widowControl/>
              <w:spacing w:line="220" w:lineRule="exact"/>
              <w:jc w:val="left"/>
              <w:rPr>
                <w:sz w:val="18"/>
                <w:szCs w:val="18"/>
              </w:rPr>
            </w:pPr>
          </w:p>
        </w:tc>
        <w:tc>
          <w:tcPr>
            <w:tcW w:w="1095" w:type="dxa"/>
            <w:vMerge w:val="continue"/>
            <w:tcBorders>
              <w:left w:val="single" w:color="auto" w:sz="4" w:space="0"/>
              <w:bottom w:val="single" w:color="auto" w:sz="4" w:space="0"/>
              <w:right w:val="single" w:color="auto" w:sz="4" w:space="0"/>
            </w:tcBorders>
            <w:noWrap w:val="0"/>
            <w:vAlign w:val="center"/>
          </w:tcPr>
          <w:p w14:paraId="6310CE97">
            <w:pPr>
              <w:widowControl/>
              <w:spacing w:line="220" w:lineRule="exact"/>
              <w:jc w:val="center"/>
              <w:rPr>
                <w:sz w:val="18"/>
                <w:szCs w:val="18"/>
              </w:rPr>
            </w:pPr>
          </w:p>
        </w:tc>
        <w:tc>
          <w:tcPr>
            <w:tcW w:w="768" w:type="dxa"/>
            <w:vMerge w:val="continue"/>
            <w:tcBorders>
              <w:top w:val="single" w:color="auto" w:sz="4" w:space="0"/>
              <w:left w:val="single" w:color="auto" w:sz="4" w:space="0"/>
              <w:bottom w:val="single" w:color="auto" w:sz="4" w:space="0"/>
              <w:right w:val="single" w:color="auto" w:sz="4" w:space="0"/>
            </w:tcBorders>
            <w:noWrap w:val="0"/>
            <w:vAlign w:val="center"/>
          </w:tcPr>
          <w:p w14:paraId="172D4BF5">
            <w:pPr>
              <w:widowControl/>
              <w:spacing w:line="220" w:lineRule="exact"/>
              <w:jc w:val="left"/>
              <w:rPr>
                <w:sz w:val="18"/>
                <w:szCs w:val="18"/>
              </w:rPr>
            </w:pPr>
          </w:p>
        </w:tc>
        <w:tc>
          <w:tcPr>
            <w:tcW w:w="605"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37E1A84D">
            <w:pPr>
              <w:spacing w:line="220" w:lineRule="exact"/>
              <w:jc w:val="center"/>
              <w:rPr>
                <w:sz w:val="18"/>
                <w:szCs w:val="18"/>
              </w:rPr>
            </w:pPr>
            <w:r>
              <w:rPr>
                <w:sz w:val="18"/>
                <w:szCs w:val="18"/>
              </w:rPr>
              <w:t>容积率</w:t>
            </w:r>
          </w:p>
        </w:tc>
        <w:tc>
          <w:tcPr>
            <w:tcW w:w="735"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4AC2144F">
            <w:pPr>
              <w:spacing w:line="220" w:lineRule="exact"/>
              <w:ind w:firstLine="90" w:firstLineChars="50"/>
              <w:rPr>
                <w:sz w:val="18"/>
                <w:szCs w:val="18"/>
              </w:rPr>
            </w:pPr>
            <w:r>
              <w:rPr>
                <w:sz w:val="18"/>
                <w:szCs w:val="18"/>
              </w:rPr>
              <w:t>建筑</w:t>
            </w:r>
          </w:p>
          <w:p w14:paraId="7270DEC7">
            <w:pPr>
              <w:spacing w:line="220" w:lineRule="exact"/>
              <w:jc w:val="center"/>
              <w:rPr>
                <w:sz w:val="18"/>
                <w:szCs w:val="18"/>
              </w:rPr>
            </w:pPr>
            <w:r>
              <w:rPr>
                <w:sz w:val="18"/>
                <w:szCs w:val="18"/>
              </w:rPr>
              <w:t>密度(%)</w:t>
            </w:r>
          </w:p>
        </w:tc>
        <w:tc>
          <w:tcPr>
            <w:tcW w:w="778"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6AD4BFB4">
            <w:pPr>
              <w:spacing w:line="220" w:lineRule="exact"/>
              <w:jc w:val="center"/>
              <w:rPr>
                <w:sz w:val="18"/>
                <w:szCs w:val="18"/>
              </w:rPr>
            </w:pPr>
            <w:r>
              <w:rPr>
                <w:sz w:val="18"/>
                <w:szCs w:val="18"/>
              </w:rPr>
              <w:t>绿地率(%)</w:t>
            </w:r>
          </w:p>
        </w:tc>
        <w:tc>
          <w:tcPr>
            <w:tcW w:w="750" w:type="dxa"/>
            <w:vMerge w:val="continue"/>
            <w:tcBorders>
              <w:left w:val="nil"/>
              <w:bottom w:val="single" w:color="auto" w:sz="4" w:space="0"/>
              <w:right w:val="single" w:color="auto" w:sz="4" w:space="0"/>
            </w:tcBorders>
            <w:noWrap w:val="0"/>
            <w:vAlign w:val="center"/>
          </w:tcPr>
          <w:p w14:paraId="119243A6">
            <w:pPr>
              <w:widowControl/>
              <w:spacing w:line="220" w:lineRule="exact"/>
              <w:jc w:val="left"/>
              <w:rPr>
                <w:sz w:val="18"/>
                <w:szCs w:val="18"/>
              </w:rPr>
            </w:pPr>
          </w:p>
        </w:tc>
        <w:tc>
          <w:tcPr>
            <w:tcW w:w="714" w:type="dxa"/>
            <w:vMerge w:val="continue"/>
            <w:tcBorders>
              <w:top w:val="single" w:color="auto" w:sz="4" w:space="0"/>
              <w:left w:val="nil"/>
              <w:bottom w:val="single" w:color="auto" w:sz="4" w:space="0"/>
              <w:right w:val="single" w:color="auto" w:sz="4" w:space="0"/>
            </w:tcBorders>
            <w:noWrap w:val="0"/>
            <w:vAlign w:val="center"/>
          </w:tcPr>
          <w:p w14:paraId="6A978D2B">
            <w:pPr>
              <w:widowControl/>
              <w:spacing w:line="220" w:lineRule="exact"/>
              <w:jc w:val="left"/>
              <w:rPr>
                <w:sz w:val="18"/>
                <w:szCs w:val="18"/>
              </w:rPr>
            </w:pPr>
          </w:p>
        </w:tc>
        <w:tc>
          <w:tcPr>
            <w:tcW w:w="767" w:type="dxa"/>
            <w:vMerge w:val="continue"/>
            <w:tcBorders>
              <w:top w:val="single" w:color="auto" w:sz="4" w:space="0"/>
              <w:left w:val="nil"/>
              <w:bottom w:val="single" w:color="auto" w:sz="4" w:space="0"/>
              <w:right w:val="single" w:color="auto" w:sz="4" w:space="0"/>
            </w:tcBorders>
            <w:noWrap w:val="0"/>
            <w:vAlign w:val="center"/>
          </w:tcPr>
          <w:p w14:paraId="431EB51B">
            <w:pPr>
              <w:widowControl/>
              <w:spacing w:line="220" w:lineRule="exact"/>
              <w:jc w:val="left"/>
              <w:rPr>
                <w:sz w:val="18"/>
                <w:szCs w:val="18"/>
              </w:rPr>
            </w:pPr>
          </w:p>
        </w:tc>
      </w:tr>
      <w:tr w14:paraId="6C0E8B0F">
        <w:tblPrEx>
          <w:tblCellMar>
            <w:top w:w="0" w:type="dxa"/>
            <w:left w:w="0" w:type="dxa"/>
            <w:bottom w:w="0" w:type="dxa"/>
            <w:right w:w="0" w:type="dxa"/>
          </w:tblCellMar>
        </w:tblPrEx>
        <w:trPr>
          <w:cantSplit/>
          <w:trHeight w:val="789" w:hRule="atLeast"/>
          <w:jc w:val="center"/>
        </w:trPr>
        <w:tc>
          <w:tcPr>
            <w:tcW w:w="819" w:type="dxa"/>
            <w:tcBorders>
              <w:top w:val="single" w:color="auto" w:sz="4" w:space="0"/>
              <w:left w:val="single" w:color="auto" w:sz="4" w:space="0"/>
              <w:bottom w:val="single" w:color="auto" w:sz="4" w:space="0"/>
              <w:right w:val="single" w:color="auto" w:sz="4" w:space="0"/>
            </w:tcBorders>
            <w:noWrap w:val="0"/>
            <w:vAlign w:val="center"/>
          </w:tcPr>
          <w:p w14:paraId="77D9474F">
            <w:pPr>
              <w:spacing w:line="220" w:lineRule="exact"/>
              <w:jc w:val="center"/>
              <w:rPr>
                <w:rFonts w:hint="eastAsia"/>
                <w:sz w:val="18"/>
                <w:szCs w:val="18"/>
                <w:lang w:val="en-US" w:eastAsia="zh-CN"/>
              </w:rPr>
            </w:pPr>
            <w:r>
              <w:rPr>
                <w:rFonts w:hint="eastAsia"/>
                <w:sz w:val="18"/>
                <w:szCs w:val="18"/>
              </w:rPr>
              <w:t>HG2</w:t>
            </w:r>
            <w:r>
              <w:rPr>
                <w:sz w:val="18"/>
                <w:szCs w:val="18"/>
              </w:rPr>
              <w:t>60</w:t>
            </w:r>
            <w:r>
              <w:rPr>
                <w:rFonts w:hint="eastAsia"/>
                <w:sz w:val="18"/>
                <w:szCs w:val="18"/>
                <w:lang w:val="en-US" w:eastAsia="zh-CN"/>
              </w:rPr>
              <w:t>14</w:t>
            </w:r>
          </w:p>
        </w:tc>
        <w:tc>
          <w:tcPr>
            <w:tcW w:w="1494" w:type="dxa"/>
            <w:tcBorders>
              <w:top w:val="single" w:color="auto" w:sz="4" w:space="0"/>
              <w:left w:val="single" w:color="auto" w:sz="4" w:space="0"/>
              <w:bottom w:val="single" w:color="auto" w:sz="4" w:space="0"/>
              <w:right w:val="single" w:color="auto" w:sz="4" w:space="0"/>
            </w:tcBorders>
            <w:noWrap w:val="0"/>
            <w:vAlign w:val="center"/>
          </w:tcPr>
          <w:p w14:paraId="4678C543">
            <w:pPr>
              <w:spacing w:line="220" w:lineRule="exact"/>
              <w:jc w:val="center"/>
              <w:rPr>
                <w:rFonts w:hint="eastAsia"/>
                <w:sz w:val="18"/>
                <w:szCs w:val="18"/>
                <w:lang w:val="en-US" w:eastAsia="zh-CN"/>
              </w:rPr>
            </w:pPr>
            <w:r>
              <w:rPr>
                <w:rFonts w:hint="eastAsia"/>
                <w:sz w:val="18"/>
                <w:szCs w:val="18"/>
                <w:lang w:val="en-US" w:eastAsia="zh-CN"/>
              </w:rPr>
              <w:t>鹏程大道以北吴必畈路以西地块</w:t>
            </w:r>
          </w:p>
        </w:tc>
        <w:tc>
          <w:tcPr>
            <w:tcW w:w="1095" w:type="dxa"/>
            <w:tcBorders>
              <w:top w:val="single" w:color="auto" w:sz="4" w:space="0"/>
              <w:left w:val="single" w:color="auto" w:sz="4" w:space="0"/>
              <w:bottom w:val="single" w:color="auto" w:sz="4" w:space="0"/>
              <w:right w:val="single" w:color="auto" w:sz="4" w:space="0"/>
            </w:tcBorders>
            <w:noWrap w:val="0"/>
            <w:vAlign w:val="center"/>
          </w:tcPr>
          <w:p w14:paraId="2AF85AF6">
            <w:pPr>
              <w:spacing w:line="220" w:lineRule="exact"/>
              <w:jc w:val="center"/>
              <w:rPr>
                <w:rFonts w:hint="eastAsia"/>
                <w:sz w:val="18"/>
                <w:szCs w:val="18"/>
                <w:lang w:val="en-US" w:eastAsia="zh-CN"/>
              </w:rPr>
            </w:pPr>
            <w:r>
              <w:rPr>
                <w:rFonts w:hint="eastAsia"/>
                <w:sz w:val="18"/>
                <w:szCs w:val="18"/>
                <w:lang w:val="en-US" w:eastAsia="zh-CN"/>
              </w:rPr>
              <w:t>30154.67</w:t>
            </w:r>
          </w:p>
        </w:tc>
        <w:tc>
          <w:tcPr>
            <w:tcW w:w="768" w:type="dxa"/>
            <w:tcBorders>
              <w:top w:val="single" w:color="auto" w:sz="4" w:space="0"/>
              <w:left w:val="single" w:color="auto" w:sz="4" w:space="0"/>
              <w:bottom w:val="single" w:color="auto" w:sz="4" w:space="0"/>
              <w:right w:val="single" w:color="auto" w:sz="4" w:space="0"/>
            </w:tcBorders>
            <w:noWrap w:val="0"/>
            <w:vAlign w:val="center"/>
          </w:tcPr>
          <w:p w14:paraId="3BA86E9A">
            <w:pPr>
              <w:spacing w:line="220" w:lineRule="exact"/>
              <w:jc w:val="center"/>
              <w:rPr>
                <w:rFonts w:hint="eastAsia"/>
                <w:sz w:val="18"/>
                <w:szCs w:val="18"/>
                <w:lang w:val="en-US" w:eastAsia="zh-CN"/>
              </w:rPr>
            </w:pPr>
            <w:r>
              <w:rPr>
                <w:rFonts w:hint="eastAsia"/>
                <w:sz w:val="18"/>
                <w:szCs w:val="18"/>
                <w:lang w:val="en-US" w:eastAsia="zh-CN"/>
              </w:rPr>
              <w:t>二类</w:t>
            </w:r>
            <w:r>
              <w:rPr>
                <w:rFonts w:hint="eastAsia"/>
                <w:sz w:val="18"/>
                <w:szCs w:val="18"/>
              </w:rPr>
              <w:t>工业用地</w:t>
            </w:r>
          </w:p>
        </w:tc>
        <w:tc>
          <w:tcPr>
            <w:tcW w:w="60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A6C490F">
            <w:pPr>
              <w:spacing w:line="220" w:lineRule="exact"/>
              <w:jc w:val="center"/>
              <w:rPr>
                <w:rFonts w:hint="eastAsia"/>
                <w:sz w:val="18"/>
                <w:szCs w:val="18"/>
                <w:lang w:val="en-US" w:eastAsia="zh-CN"/>
              </w:rPr>
            </w:pPr>
            <w:r>
              <w:rPr>
                <w:rFonts w:hint="eastAsia"/>
                <w:sz w:val="18"/>
                <w:szCs w:val="18"/>
              </w:rPr>
              <w:t>≥1.</w:t>
            </w:r>
            <w:r>
              <w:rPr>
                <w:sz w:val="18"/>
                <w:szCs w:val="18"/>
              </w:rPr>
              <w:t>0</w:t>
            </w:r>
          </w:p>
        </w:tc>
        <w:tc>
          <w:tcPr>
            <w:tcW w:w="7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0505FAE">
            <w:pPr>
              <w:spacing w:line="220" w:lineRule="exact"/>
              <w:jc w:val="center"/>
              <w:rPr>
                <w:rFonts w:hint="eastAsia"/>
                <w:sz w:val="18"/>
                <w:szCs w:val="18"/>
                <w:lang w:val="en-US" w:eastAsia="zh-CN"/>
              </w:rPr>
            </w:pPr>
            <w:r>
              <w:rPr>
                <w:rFonts w:hint="eastAsia"/>
                <w:sz w:val="18"/>
                <w:szCs w:val="18"/>
              </w:rPr>
              <w:t>≥</w:t>
            </w:r>
            <w:r>
              <w:rPr>
                <w:rFonts w:hint="eastAsia"/>
                <w:sz w:val="18"/>
                <w:szCs w:val="18"/>
                <w:lang w:val="en-US" w:eastAsia="zh-CN"/>
              </w:rPr>
              <w:t>40</w:t>
            </w:r>
          </w:p>
        </w:tc>
        <w:tc>
          <w:tcPr>
            <w:tcW w:w="77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D05718A">
            <w:pPr>
              <w:spacing w:line="220" w:lineRule="exact"/>
              <w:jc w:val="center"/>
              <w:rPr>
                <w:rFonts w:hint="eastAsia"/>
                <w:sz w:val="18"/>
                <w:szCs w:val="18"/>
                <w:lang w:val="en-US" w:eastAsia="zh-CN"/>
              </w:rPr>
            </w:pPr>
            <w:r>
              <w:rPr>
                <w:rFonts w:hint="eastAsia"/>
                <w:sz w:val="18"/>
                <w:szCs w:val="18"/>
              </w:rPr>
              <w:t>≤</w:t>
            </w:r>
            <w:r>
              <w:rPr>
                <w:sz w:val="18"/>
                <w:szCs w:val="18"/>
              </w:rPr>
              <w:t>15</w:t>
            </w:r>
          </w:p>
        </w:tc>
        <w:tc>
          <w:tcPr>
            <w:tcW w:w="750" w:type="dxa"/>
            <w:tcBorders>
              <w:top w:val="single" w:color="auto" w:sz="4" w:space="0"/>
              <w:left w:val="single" w:color="auto" w:sz="4" w:space="0"/>
              <w:bottom w:val="single" w:color="auto" w:sz="4" w:space="0"/>
              <w:right w:val="single" w:color="auto" w:sz="4" w:space="0"/>
            </w:tcBorders>
            <w:noWrap w:val="0"/>
            <w:vAlign w:val="center"/>
          </w:tcPr>
          <w:p w14:paraId="74C7DB18">
            <w:pPr>
              <w:spacing w:line="220" w:lineRule="exact"/>
              <w:jc w:val="center"/>
              <w:rPr>
                <w:rFonts w:hint="eastAsia"/>
                <w:sz w:val="18"/>
                <w:szCs w:val="18"/>
                <w:lang w:val="en-US" w:eastAsia="zh-CN"/>
              </w:rPr>
            </w:pPr>
            <w:r>
              <w:rPr>
                <w:rFonts w:hint="eastAsia"/>
                <w:sz w:val="18"/>
                <w:szCs w:val="18"/>
              </w:rPr>
              <w:t>工业</w:t>
            </w:r>
            <w:r>
              <w:rPr>
                <w:rFonts w:hint="eastAsia"/>
                <w:sz w:val="18"/>
                <w:szCs w:val="18"/>
                <w:lang w:val="en-US" w:eastAsia="zh-CN"/>
              </w:rPr>
              <w:t>5</w:t>
            </w:r>
            <w:r>
              <w:rPr>
                <w:rFonts w:hint="eastAsia"/>
                <w:sz w:val="18"/>
                <w:szCs w:val="18"/>
              </w:rPr>
              <w:t>0年</w:t>
            </w:r>
          </w:p>
        </w:tc>
        <w:tc>
          <w:tcPr>
            <w:tcW w:w="714" w:type="dxa"/>
            <w:tcBorders>
              <w:top w:val="single" w:color="auto" w:sz="4" w:space="0"/>
              <w:left w:val="single" w:color="auto" w:sz="4" w:space="0"/>
              <w:bottom w:val="single" w:color="auto" w:sz="4" w:space="0"/>
              <w:right w:val="single" w:color="auto" w:sz="4" w:space="0"/>
            </w:tcBorders>
            <w:noWrap w:val="0"/>
            <w:vAlign w:val="center"/>
          </w:tcPr>
          <w:p w14:paraId="4CDCDA87">
            <w:pPr>
              <w:spacing w:line="220" w:lineRule="exact"/>
              <w:jc w:val="center"/>
              <w:rPr>
                <w:rFonts w:hint="eastAsia"/>
                <w:sz w:val="18"/>
                <w:szCs w:val="18"/>
                <w:lang w:val="en-US" w:eastAsia="zh-CN"/>
              </w:rPr>
            </w:pPr>
            <w:r>
              <w:rPr>
                <w:rFonts w:hint="eastAsia"/>
                <w:sz w:val="18"/>
                <w:szCs w:val="18"/>
                <w:lang w:val="en-US" w:eastAsia="zh-CN"/>
              </w:rPr>
              <w:t>421</w:t>
            </w:r>
          </w:p>
        </w:tc>
        <w:tc>
          <w:tcPr>
            <w:tcW w:w="767" w:type="dxa"/>
            <w:tcBorders>
              <w:top w:val="single" w:color="auto" w:sz="4" w:space="0"/>
              <w:left w:val="single" w:color="auto" w:sz="4" w:space="0"/>
              <w:bottom w:val="single" w:color="auto" w:sz="4" w:space="0"/>
              <w:right w:val="single" w:color="auto" w:sz="4" w:space="0"/>
            </w:tcBorders>
            <w:noWrap w:val="0"/>
            <w:vAlign w:val="center"/>
          </w:tcPr>
          <w:p w14:paraId="2DD75EB3">
            <w:pPr>
              <w:spacing w:line="220" w:lineRule="exact"/>
              <w:jc w:val="center"/>
              <w:rPr>
                <w:rFonts w:hint="eastAsia"/>
                <w:sz w:val="18"/>
                <w:szCs w:val="18"/>
                <w:lang w:val="en-US" w:eastAsia="zh-CN"/>
              </w:rPr>
            </w:pPr>
            <w:r>
              <w:rPr>
                <w:rFonts w:hint="eastAsia"/>
                <w:sz w:val="18"/>
                <w:szCs w:val="18"/>
                <w:lang w:val="en-US" w:eastAsia="zh-CN"/>
              </w:rPr>
              <w:t>841</w:t>
            </w:r>
          </w:p>
        </w:tc>
      </w:tr>
    </w:tbl>
    <w:p w14:paraId="646DB48F">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四、特别约定</w:t>
      </w:r>
    </w:p>
    <w:p w14:paraId="56691CBB">
      <w:pPr>
        <w:keepNext w:val="0"/>
        <w:keepLines w:val="0"/>
        <w:pageBreakBefore w:val="0"/>
        <w:widowControl/>
        <w:numPr>
          <w:ilvl w:val="0"/>
          <w:numId w:val="0"/>
        </w:numPr>
        <w:kinsoku/>
        <w:wordWrap/>
        <w:overflowPunct/>
        <w:autoSpaceDE/>
        <w:autoSpaceDN/>
        <w:bidi w:val="0"/>
        <w:adjustRightInd/>
        <w:spacing w:line="54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（一）土地收购综合补偿约定：土地使用权及地面建(构)筑物的拆迁、补偿由黄石经济技术开发区管委会、铁山区政府负责。宗地涉及的契税、印花税由竞得人按规定缴纳。</w:t>
      </w:r>
    </w:p>
    <w:p w14:paraId="6E8CC14F">
      <w:pPr>
        <w:keepNext w:val="0"/>
        <w:keepLines w:val="0"/>
        <w:pageBreakBefore w:val="0"/>
        <w:widowControl/>
        <w:numPr>
          <w:ilvl w:val="0"/>
          <w:numId w:val="0"/>
        </w:numPr>
        <w:kinsoku/>
        <w:wordWrap/>
        <w:overflowPunct/>
        <w:autoSpaceDE/>
        <w:autoSpaceDN/>
        <w:bidi w:val="0"/>
        <w:adjustRightInd/>
        <w:spacing w:line="54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（二）土地开发程度：“五通”（通路、通电、通讯、通上水、通下水），红线内场地现状交付。</w:t>
      </w:r>
    </w:p>
    <w:p w14:paraId="3BAEDE22">
      <w:pPr>
        <w:keepNext w:val="0"/>
        <w:keepLines w:val="0"/>
        <w:pageBreakBefore w:val="0"/>
        <w:widowControl/>
        <w:numPr>
          <w:ilvl w:val="0"/>
          <w:numId w:val="0"/>
        </w:numPr>
        <w:kinsoku/>
        <w:wordWrap/>
        <w:overflowPunct/>
        <w:autoSpaceDE/>
        <w:autoSpaceDN/>
        <w:bidi w:val="0"/>
        <w:adjustRightInd/>
        <w:spacing w:line="54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（三）土地交付：由黄石经济技术开发区管委会</w:t>
      </w: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铁山区政府负责。</w:t>
      </w:r>
    </w:p>
    <w:p w14:paraId="1640ACEB">
      <w:pPr>
        <w:keepNext w:val="0"/>
        <w:keepLines w:val="0"/>
        <w:pageBreakBefore w:val="0"/>
        <w:widowControl/>
        <w:numPr>
          <w:ilvl w:val="0"/>
          <w:numId w:val="0"/>
        </w:numPr>
        <w:kinsoku/>
        <w:wordWrap w:val="0"/>
        <w:overflowPunct/>
        <w:topLinePunct w:val="0"/>
        <w:autoSpaceDE/>
        <w:autoSpaceDN/>
        <w:bidi w:val="0"/>
        <w:adjustRightInd/>
        <w:snapToGrid/>
        <w:spacing w:line="54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四）HG26014地块竞得人必须严格按照黄石市自然资源和城乡建设局出具规划条件要求进行开发建设，土地出让金自《国有土地使用权出让合同》签订之日起30天内缴清。受让人宗地所涉及的契税、印花税没有纳入土地出让价款，由竞得者在土地出让合同签订之日起1个月内缴清。HG26014号地块土地成交后竞得人需出具《“标准地”企业信用承诺书》与黄石经济技术开发区·铁山区民营企业发展促进中心签订《企业投资工业项目“标准地”投资建设合同》，竞得企业提供供地申请等相关资料，再按程序签订《国有建设用地使用权出让合同》，并在签订出让合同后10个工作日内建立“建设项目信息公示牌”，公示牌具体规格及公示内容由自然资源和规划部门另行告知。</w:t>
      </w:r>
    </w:p>
    <w:p w14:paraId="088E3813">
      <w:pPr>
        <w:keepNext w:val="0"/>
        <w:keepLines w:val="0"/>
        <w:pageBreakBefore w:val="0"/>
        <w:widowControl/>
        <w:numPr>
          <w:ilvl w:val="0"/>
          <w:numId w:val="0"/>
        </w:numPr>
        <w:kinsoku/>
        <w:wordWrap/>
        <w:overflowPunct/>
        <w:autoSpaceDE/>
        <w:autoSpaceDN/>
        <w:bidi w:val="0"/>
        <w:adjustRightInd/>
        <w:spacing w:line="54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（五）HG26014号地块“标准地”增加约定条款：</w:t>
      </w:r>
    </w:p>
    <w:p w14:paraId="5739DB41">
      <w:pPr>
        <w:keepNext w:val="0"/>
        <w:keepLines w:val="0"/>
        <w:pageBreakBefore w:val="0"/>
        <w:widowControl/>
        <w:numPr>
          <w:ilvl w:val="0"/>
          <w:numId w:val="0"/>
        </w:numPr>
        <w:kinsoku/>
        <w:wordWrap/>
        <w:overflowPunct/>
        <w:autoSpaceDE/>
        <w:autoSpaceDN/>
        <w:bidi w:val="0"/>
        <w:adjustRightInd/>
        <w:spacing w:line="54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行业及投资条件：固定资产投资强度≥300万元/亩，土地税收≥25万元/亩，土地出让签订后一年内开工，开竣工时间不超过2年。</w:t>
      </w:r>
      <w:bookmarkStart w:id="0" w:name="_GoBack"/>
      <w:bookmarkEnd w:id="0"/>
    </w:p>
    <w:p w14:paraId="4E676457">
      <w:pPr>
        <w:keepNext w:val="0"/>
        <w:keepLines w:val="0"/>
        <w:pageBreakBefore w:val="0"/>
        <w:widowControl/>
        <w:numPr>
          <w:ilvl w:val="0"/>
          <w:numId w:val="0"/>
        </w:numPr>
        <w:kinsoku/>
        <w:wordWrap/>
        <w:overflowPunct/>
        <w:autoSpaceDE/>
        <w:autoSpaceDN/>
        <w:bidi w:val="0"/>
        <w:adjustRightInd/>
        <w:spacing w:line="54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环保条件：项目排放的各类污染物必须达到国家及地方排放标准，且排放污水必须经过预处理后进入污水处理厂进一步处理。项目必须在周围敏感点（学校、福利院、居民区等）设置环境保护距离。</w:t>
      </w:r>
    </w:p>
    <w:p w14:paraId="22D2EC5F">
      <w:pPr>
        <w:keepNext w:val="0"/>
        <w:keepLines w:val="0"/>
        <w:pageBreakBefore w:val="0"/>
        <w:widowControl/>
        <w:numPr>
          <w:ilvl w:val="0"/>
          <w:numId w:val="0"/>
        </w:numPr>
        <w:kinsoku/>
        <w:wordWrap/>
        <w:overflowPunct/>
        <w:autoSpaceDE/>
        <w:autoSpaceDN/>
        <w:bidi w:val="0"/>
        <w:adjustRightInd/>
        <w:spacing w:line="54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（六）上述宗地以现状挂牌出让，实际勘测交付面积与挂牌出让文件标明的出让面积差异率在1%以内的，面积差异不影响成交价款。</w:t>
      </w:r>
    </w:p>
    <w:p w14:paraId="403CAEF9">
      <w:pPr>
        <w:keepNext w:val="0"/>
        <w:keepLines w:val="0"/>
        <w:pageBreakBefore w:val="0"/>
        <w:widowControl/>
        <w:numPr>
          <w:ilvl w:val="0"/>
          <w:numId w:val="0"/>
        </w:numPr>
        <w:kinsoku/>
        <w:wordWrap/>
        <w:overflowPunct/>
        <w:autoSpaceDE/>
        <w:autoSpaceDN/>
        <w:bidi w:val="0"/>
        <w:adjustRightInd/>
        <w:spacing w:line="54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（七）受让人在工程施工时要做好地质灾害防治工作，确保人民生命财产安全和工程建设的地质安全。</w:t>
      </w:r>
    </w:p>
    <w:p w14:paraId="1DA231F3">
      <w:pPr>
        <w:keepNext w:val="0"/>
        <w:keepLines w:val="0"/>
        <w:pageBreakBefore w:val="0"/>
        <w:widowControl/>
        <w:numPr>
          <w:ilvl w:val="0"/>
          <w:numId w:val="0"/>
        </w:numPr>
        <w:kinsoku/>
        <w:wordWrap/>
        <w:overflowPunct/>
        <w:autoSpaceDE/>
        <w:autoSpaceDN/>
        <w:bidi w:val="0"/>
        <w:adjustRightInd/>
        <w:spacing w:line="54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五、竞买资格及要求</w:t>
      </w:r>
    </w:p>
    <w:p w14:paraId="157961BF">
      <w:pPr>
        <w:keepNext w:val="0"/>
        <w:keepLines w:val="0"/>
        <w:pageBreakBefore w:val="0"/>
        <w:widowControl/>
        <w:numPr>
          <w:ilvl w:val="0"/>
          <w:numId w:val="0"/>
        </w:numPr>
        <w:kinsoku/>
        <w:wordWrap/>
        <w:overflowPunct/>
        <w:autoSpaceDE/>
        <w:autoSpaceDN/>
        <w:bidi w:val="0"/>
        <w:adjustRightInd/>
        <w:spacing w:line="54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lang w:val="en-US" w:eastAsia="zh-CN"/>
        </w:rPr>
        <w:t>（一）中华人民共和国境内外的个人、法人和其他组织，除法律法规另有规定外，均可申请参加，申请人可以单独申请，也可以联合申请。竞买申请人在参与网上挂牌交易活动期间须在“信用中国”网站（http://www.creditchina.gov.cn）无失信记录，若存在失信记录参加竞买活动的，其竞买申请为无效申请，竞买申请人自行承担相关法律后果</w:t>
      </w:r>
      <w:r>
        <w:rPr>
          <w:rFonts w:hint="eastAsia" w:ascii="Times New Roman" w:hAnsi="Times New Roman" w:eastAsia="仿宋_GB2312" w:cs="Times New Roman"/>
          <w:sz w:val="32"/>
          <w:szCs w:val="24"/>
        </w:rPr>
        <w:t>。</w:t>
      </w:r>
    </w:p>
    <w:p w14:paraId="2034BD4F">
      <w:pPr>
        <w:keepNext w:val="0"/>
        <w:keepLines w:val="0"/>
        <w:pageBreakBefore w:val="0"/>
        <w:widowControl/>
        <w:numPr>
          <w:ilvl w:val="0"/>
          <w:numId w:val="0"/>
        </w:numPr>
        <w:kinsoku/>
        <w:wordWrap/>
        <w:overflowPunct/>
        <w:autoSpaceDE/>
        <w:autoSpaceDN/>
        <w:bidi w:val="0"/>
        <w:adjustRightInd/>
        <w:spacing w:line="540" w:lineRule="exact"/>
        <w:ind w:firstLine="640" w:firstLineChars="200"/>
        <w:jc w:val="left"/>
        <w:textAlignment w:val="auto"/>
        <w:rPr>
          <w:rFonts w:hint="eastAsia" w:ascii="Times New Roman" w:hAnsi="Times New Roman" w:eastAsia="仿宋_GB2312" w:cs="Times New Roman"/>
          <w:sz w:val="32"/>
          <w:szCs w:val="24"/>
          <w:lang w:val="en-US" w:eastAsia="zh-CN"/>
        </w:rPr>
      </w:pPr>
      <w:r>
        <w:rPr>
          <w:rFonts w:hint="eastAsia" w:ascii="Times New Roman" w:hAnsi="Times New Roman" w:eastAsia="仿宋_GB2312" w:cs="Times New Roman"/>
          <w:sz w:val="32"/>
          <w:szCs w:val="24"/>
        </w:rPr>
        <w:t>（二）凡存在伪造公文骗取用地手续和非法倒卖土地等犯罪行为、非法转让土地使用权等违法行为、因企业原因造成土地闲置一年以上、违背出让合同约定条件开发利用、擅自改变保障性安居工程用地用途搞商品房开发、拖欠土地出让金等情形之一的企业或个人，在违法违规违约行为处理完毕之前，该企业（包括其控股股东及其控股股东新设企业）或个人不能参加竞买</w:t>
      </w:r>
      <w:r>
        <w:rPr>
          <w:rFonts w:hint="eastAsia" w:ascii="Times New Roman" w:hAnsi="Times New Roman" w:eastAsia="仿宋_GB2312" w:cs="Times New Roman"/>
          <w:sz w:val="32"/>
          <w:szCs w:val="24"/>
          <w:lang w:val="en-US" w:eastAsia="zh-CN"/>
        </w:rPr>
        <w:t>。</w:t>
      </w:r>
    </w:p>
    <w:p w14:paraId="1B42EF1C">
      <w:pPr>
        <w:keepNext w:val="0"/>
        <w:keepLines w:val="0"/>
        <w:pageBreakBefore w:val="0"/>
        <w:widowControl/>
        <w:numPr>
          <w:ilvl w:val="0"/>
          <w:numId w:val="0"/>
        </w:numPr>
        <w:kinsoku/>
        <w:wordWrap/>
        <w:overflowPunct/>
        <w:autoSpaceDE/>
        <w:autoSpaceDN/>
        <w:bidi w:val="0"/>
        <w:adjustRightInd/>
        <w:spacing w:line="540" w:lineRule="exact"/>
        <w:ind w:firstLine="640" w:firstLineChars="200"/>
        <w:jc w:val="left"/>
        <w:textAlignment w:val="auto"/>
        <w:rPr>
          <w:rFonts w:hint="eastAsia" w:ascii="Times New Roman" w:hAnsi="Times New Roman" w:eastAsia="仿宋_GB2312" w:cs="Times New Roman"/>
          <w:sz w:val="32"/>
          <w:szCs w:val="24"/>
          <w:lang w:val="en-US" w:eastAsia="zh-CN"/>
        </w:rPr>
      </w:pPr>
      <w:r>
        <w:rPr>
          <w:rFonts w:hint="eastAsia" w:ascii="Times New Roman" w:hAnsi="Times New Roman" w:eastAsia="仿宋_GB2312" w:cs="Times New Roman"/>
          <w:sz w:val="32"/>
          <w:szCs w:val="24"/>
          <w:lang w:val="en-US" w:eastAsia="zh-CN"/>
        </w:rPr>
        <w:t>六、本次国有建设用地使用权挂牌出让只能在互联网上通过黄石市公共资源交易网交易信息“国有土地出让”中开发区·铁山区（中国银行）栏目国有土地网上交易系统进行。只有办理数字证书、通过网上注册、足额交纳竞买保证金的申请人，才能参加网上挂牌出让活动。</w:t>
      </w:r>
    </w:p>
    <w:p w14:paraId="41E29280">
      <w:pPr>
        <w:keepNext w:val="0"/>
        <w:keepLines w:val="0"/>
        <w:pageBreakBefore w:val="0"/>
        <w:widowControl/>
        <w:numPr>
          <w:ilvl w:val="0"/>
          <w:numId w:val="0"/>
        </w:numPr>
        <w:kinsoku/>
        <w:wordWrap/>
        <w:overflowPunct/>
        <w:autoSpaceDE/>
        <w:autoSpaceDN/>
        <w:bidi w:val="0"/>
        <w:adjustRightInd/>
        <w:spacing w:line="540" w:lineRule="exact"/>
        <w:ind w:firstLine="640" w:firstLineChars="200"/>
        <w:jc w:val="left"/>
        <w:textAlignment w:val="auto"/>
        <w:rPr>
          <w:rFonts w:hint="eastAsia" w:ascii="Times New Roman" w:hAnsi="Times New Roman" w:eastAsia="仿宋_GB2312" w:cs="Times New Roman"/>
          <w:sz w:val="32"/>
          <w:szCs w:val="24"/>
          <w:lang w:val="en-US" w:eastAsia="zh-CN"/>
        </w:rPr>
      </w:pPr>
      <w:r>
        <w:rPr>
          <w:rFonts w:hint="eastAsia" w:ascii="Times New Roman" w:hAnsi="Times New Roman" w:eastAsia="仿宋_GB2312" w:cs="Times New Roman"/>
          <w:sz w:val="32"/>
          <w:szCs w:val="24"/>
          <w:lang w:val="en-US" w:eastAsia="zh-CN"/>
        </w:rPr>
        <w:t>只接受网上报名、网上竞买申请及报价。竞买人的网上竞买报价一经系统确认，不能修改或撤回。</w:t>
      </w:r>
    </w:p>
    <w:p w14:paraId="166D1A55">
      <w:pPr>
        <w:keepNext w:val="0"/>
        <w:keepLines w:val="0"/>
        <w:pageBreakBefore w:val="0"/>
        <w:widowControl/>
        <w:numPr>
          <w:ilvl w:val="0"/>
          <w:numId w:val="0"/>
        </w:numPr>
        <w:kinsoku/>
        <w:wordWrap/>
        <w:overflowPunct/>
        <w:autoSpaceDE/>
        <w:autoSpaceDN/>
        <w:bidi w:val="0"/>
        <w:adjustRightInd/>
        <w:spacing w:line="540" w:lineRule="exact"/>
        <w:ind w:firstLine="640" w:firstLineChars="200"/>
        <w:jc w:val="left"/>
        <w:textAlignment w:val="auto"/>
        <w:rPr>
          <w:rFonts w:hint="eastAsia" w:ascii="Times New Roman" w:hAnsi="Times New Roman" w:eastAsia="仿宋_GB2312" w:cs="Times New Roman"/>
          <w:sz w:val="32"/>
          <w:szCs w:val="24"/>
          <w:lang w:val="en-US" w:eastAsia="zh-CN"/>
        </w:rPr>
      </w:pPr>
      <w:r>
        <w:rPr>
          <w:rFonts w:hint="eastAsia" w:ascii="Times New Roman" w:hAnsi="Times New Roman" w:eastAsia="仿宋_GB2312" w:cs="Times New Roman"/>
          <w:sz w:val="32"/>
          <w:szCs w:val="24"/>
          <w:lang w:val="en-US" w:eastAsia="zh-CN"/>
        </w:rPr>
        <w:t>不接受电话、邮寄、书面、口头等其他方式的竞买申请和报价。</w:t>
      </w:r>
    </w:p>
    <w:p w14:paraId="361F93FC">
      <w:pPr>
        <w:keepNext w:val="0"/>
        <w:keepLines w:val="0"/>
        <w:pageBreakBefore w:val="0"/>
        <w:widowControl/>
        <w:numPr>
          <w:ilvl w:val="0"/>
          <w:numId w:val="0"/>
        </w:numPr>
        <w:kinsoku/>
        <w:wordWrap/>
        <w:overflowPunct/>
        <w:autoSpaceDE/>
        <w:autoSpaceDN/>
        <w:bidi w:val="0"/>
        <w:adjustRightInd/>
        <w:spacing w:line="54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lang w:val="en-US" w:eastAsia="zh-CN"/>
        </w:rPr>
        <w:t>交纳竞买保证金的截止时间为2026年10月31日16时（收款单位：黄石经济技术开发区·铁山区公共资源交易中心；开户行：中国银行股份有限公司黄石分行；</w:t>
      </w:r>
      <w:r>
        <w:rPr>
          <w:rFonts w:hint="eastAsia" w:ascii="Times New Roman" w:hAnsi="Times New Roman" w:eastAsia="仿宋_GB2312" w:cs="Times New Roman"/>
          <w:sz w:val="32"/>
          <w:szCs w:val="24"/>
        </w:rPr>
        <w:t>账号：随机自动生成账号），竞买人必须全部接受网上挂牌出让条件和挂牌文件，并按规定交纳竞买保证金后，方可参与竞买。</w:t>
      </w:r>
    </w:p>
    <w:p w14:paraId="497D5580">
      <w:pPr>
        <w:pStyle w:val="7"/>
        <w:keepNext w:val="0"/>
        <w:keepLines w:val="0"/>
        <w:pageBreakBefore w:val="0"/>
        <w:widowControl/>
        <w:kinsoku/>
        <w:wordWrap/>
        <w:overflowPunct/>
        <w:autoSpaceDE/>
        <w:autoSpaceDN/>
        <w:bidi w:val="0"/>
        <w:adjustRightInd/>
        <w:spacing w:line="540" w:lineRule="exact"/>
        <w:ind w:firstLine="640"/>
        <w:jc w:val="both"/>
        <w:textAlignment w:val="auto"/>
        <w:rPr>
          <w:rFonts w:ascii="Times New Roman" w:hAnsi="Times New Roman" w:eastAsia="仿宋_GB2312" w:cs="Times New Roman"/>
          <w:sz w:val="32"/>
          <w:szCs w:val="24"/>
        </w:rPr>
      </w:pPr>
      <w:r>
        <w:rPr>
          <w:rFonts w:hint="eastAsia" w:ascii="Times New Roman" w:hAnsi="Times New Roman" w:eastAsia="仿宋_GB2312"/>
          <w:kern w:val="2"/>
          <w:sz w:val="32"/>
          <w:szCs w:val="24"/>
          <w:lang w:val="en-US" w:eastAsia="zh-CN"/>
        </w:rPr>
        <w:t>竞买人保证金必须从单位账户汇出，在网上交易系统点</w:t>
      </w:r>
      <w:r>
        <w:rPr>
          <w:rFonts w:hint="eastAsia" w:ascii="仿宋_GB2312" w:hAnsi="仿宋_GB2312" w:eastAsia="仿宋_GB2312" w:cs="仿宋_GB2312"/>
          <w:kern w:val="2"/>
          <w:sz w:val="32"/>
          <w:szCs w:val="22"/>
          <w:lang w:val="en-US" w:eastAsia="zh-CN" w:bidi="ar-SA"/>
        </w:rPr>
        <w:t>击“申购”,通过交易系统在</w:t>
      </w:r>
      <w:r>
        <w:rPr>
          <w:rFonts w:hint="eastAsia" w:ascii="Times New Roman" w:hAnsi="Times New Roman" w:eastAsia="仿宋_GB2312" w:cs="Times New Roman"/>
          <w:kern w:val="2"/>
          <w:sz w:val="32"/>
          <w:szCs w:val="24"/>
          <w:lang w:val="en-US" w:eastAsia="zh-CN" w:bidi="ar-SA"/>
        </w:rPr>
        <w:t>2026年10月31日16时前</w:t>
      </w:r>
      <w:r>
        <w:rPr>
          <w:rFonts w:hint="eastAsia" w:ascii="Times New Roman" w:hAnsi="Times New Roman" w:eastAsia="仿宋_GB2312" w:cs="Times New Roman"/>
          <w:sz w:val="32"/>
          <w:szCs w:val="24"/>
        </w:rPr>
        <w:t>,</w:t>
      </w:r>
      <w:r>
        <w:rPr>
          <w:rFonts w:hint="eastAsia" w:ascii="Times New Roman" w:hAnsi="Times New Roman" w:eastAsia="仿宋_GB2312" w:cs="Times New Roman"/>
          <w:b/>
          <w:sz w:val="32"/>
          <w:szCs w:val="24"/>
        </w:rPr>
        <w:t>足额将竞买保证金汇入我中心指定的保证金账户。</w:t>
      </w:r>
      <w:r>
        <w:rPr>
          <w:rFonts w:hint="eastAsia" w:ascii="Times New Roman" w:hAnsi="Times New Roman" w:eastAsia="仿宋_GB2312" w:cs="Times New Roman"/>
          <w:b/>
          <w:bCs/>
          <w:sz w:val="32"/>
          <w:szCs w:val="24"/>
        </w:rPr>
        <w:t>竞买保证金到账时间以银行保证金缴存信息到达市公共资源电子交易系统时间为准。竞买人应充分考虑竞买保证金转账的在途时间以及节假日期间银行转账问题，适当提前缴存，以免因系统的贻</w:t>
      </w:r>
      <w:r>
        <w:rPr>
          <w:rStyle w:val="10"/>
          <w:rFonts w:hint="eastAsia" w:ascii="仿宋" w:hAnsi="仿宋" w:eastAsia="仿宋"/>
          <w:color w:val="000000"/>
          <w:sz w:val="36"/>
          <w:szCs w:val="36"/>
        </w:rPr>
        <w:t>误</w:t>
      </w:r>
      <w:r>
        <w:rPr>
          <w:rFonts w:hint="eastAsia" w:ascii="Times New Roman" w:hAnsi="Times New Roman" w:eastAsia="仿宋_GB2312" w:cs="Times New Roman"/>
          <w:b/>
          <w:bCs/>
          <w:sz w:val="32"/>
          <w:szCs w:val="24"/>
        </w:rPr>
        <w:t>不能获取竞买资格。</w:t>
      </w:r>
    </w:p>
    <w:p w14:paraId="2506ECB2">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七、竞买申请</w:t>
      </w:r>
    </w:p>
    <w:p w14:paraId="1005947B">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Times New Roman" w:hAnsi="Times New Roman" w:eastAsia="仿宋_GB2312" w:cs="Times New Roman"/>
          <w:kern w:val="2"/>
          <w:sz w:val="32"/>
          <w:szCs w:val="24"/>
          <w:lang w:val="en-US" w:eastAsia="zh-CN" w:bidi="ar-SA"/>
        </w:rPr>
        <w:t>我中心将通过黄石市公共资源交易网（http://www. hsztbzx.com/front/project/9005000000）交易信息“国有土地出让”中开发区·铁山区（中国银行）栏目发布网上挂牌出让相关文件。有意竞买者须登录该系统，在网上浏览或下载本次挂牌出让文件，网上挂牌出让文件具体包括：</w:t>
      </w:r>
    </w:p>
    <w:p w14:paraId="06934DCB">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（一）《国有建设用地使用权网上挂牌出让公告》（以下简称《出让公告》）；</w:t>
      </w:r>
    </w:p>
    <w:p w14:paraId="13EB634F">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（二）《国有建设用地使用权网上挂牌出让须知》（以下简称《出让须知》）；</w:t>
      </w:r>
    </w:p>
    <w:p w14:paraId="47CE050D">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（三）竞买申请书；</w:t>
      </w:r>
    </w:p>
    <w:p w14:paraId="401D0668">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（四）挂牌出让宗地规划条件控制文本；</w:t>
      </w:r>
    </w:p>
    <w:p w14:paraId="18F62795">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（五）《国有建设用地网上挂牌出让成交确认书》（以下简称《成交确认书》）；</w:t>
      </w:r>
    </w:p>
    <w:p w14:paraId="09D69B0C">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（六）出让地块红线图；</w:t>
      </w:r>
    </w:p>
    <w:p w14:paraId="13592252">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（七）拟成立新公司开发建设申请书；</w:t>
      </w:r>
    </w:p>
    <w:p w14:paraId="5D0E2E7D">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（八）授权委托书。</w:t>
      </w:r>
    </w:p>
    <w:p w14:paraId="23F953AB">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竞买申请及竞买保证金一经提交确认后，即视为竞买人对公开出让文件及地块现状无异议并全部接受，并对有关承诺承担法律责任。</w:t>
      </w:r>
    </w:p>
    <w:p w14:paraId="0EA8AB76">
      <w:pPr>
        <w:keepNext w:val="0"/>
        <w:keepLines w:val="0"/>
        <w:pageBreakBefore w:val="0"/>
        <w:kinsoku/>
        <w:wordWrap/>
        <w:overflowPunct/>
        <w:autoSpaceDE/>
        <w:autoSpaceDN/>
        <w:bidi w:val="0"/>
        <w:adjustRightInd/>
        <w:spacing w:line="540" w:lineRule="exact"/>
        <w:ind w:firstLine="736" w:firstLineChars="23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八、资格审查</w:t>
      </w:r>
    </w:p>
    <w:p w14:paraId="354DD41A">
      <w:pPr>
        <w:keepNext w:val="0"/>
        <w:keepLines w:val="0"/>
        <w:pageBreakBefore w:val="0"/>
        <w:kinsoku/>
        <w:wordWrap/>
        <w:overflowPunct/>
        <w:autoSpaceDE/>
        <w:autoSpaceDN/>
        <w:bidi w:val="0"/>
        <w:adjustRightInd/>
        <w:spacing w:line="540" w:lineRule="exact"/>
        <w:ind w:firstLine="736" w:firstLineChars="23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我中心通过网上挂牌出让交易系统自动确认竞买人资格。通过我中心网上挂牌出让交易系统提交竞买申请、竞买保证金，且通过交易系统资格审查的，方能取得竞买资格，网上将自动生成《竞买资格确认书》。</w:t>
      </w:r>
    </w:p>
    <w:p w14:paraId="3D078B7C">
      <w:pPr>
        <w:keepNext w:val="0"/>
        <w:keepLines w:val="0"/>
        <w:pageBreakBefore w:val="0"/>
        <w:kinsoku/>
        <w:wordWrap/>
        <w:overflowPunct/>
        <w:autoSpaceDE/>
        <w:autoSpaceDN/>
        <w:bidi w:val="0"/>
        <w:adjustRightInd/>
        <w:spacing w:line="540" w:lineRule="exact"/>
        <w:ind w:firstLine="576" w:firstLineChars="18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经审查，有下列情形之一的，为无效申请：</w:t>
      </w:r>
    </w:p>
    <w:p w14:paraId="45B3D75B">
      <w:pPr>
        <w:keepNext w:val="0"/>
        <w:keepLines w:val="0"/>
        <w:pageBreakBefore w:val="0"/>
        <w:kinsoku/>
        <w:wordWrap/>
        <w:overflowPunct/>
        <w:autoSpaceDE/>
        <w:autoSpaceDN/>
        <w:bidi w:val="0"/>
        <w:adjustRightInd/>
        <w:spacing w:line="540" w:lineRule="exact"/>
        <w:ind w:firstLine="42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（一）申请人不具备竞买资格的；</w:t>
      </w:r>
    </w:p>
    <w:p w14:paraId="2D924FE9">
      <w:pPr>
        <w:keepNext w:val="0"/>
        <w:keepLines w:val="0"/>
        <w:pageBreakBefore w:val="0"/>
        <w:kinsoku/>
        <w:wordWrap/>
        <w:overflowPunct/>
        <w:autoSpaceDE/>
        <w:autoSpaceDN/>
        <w:bidi w:val="0"/>
        <w:adjustRightInd/>
        <w:spacing w:line="540" w:lineRule="exact"/>
        <w:ind w:firstLine="42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（二）未按规定交纳竞买保证金的；</w:t>
      </w:r>
    </w:p>
    <w:p w14:paraId="134842F1">
      <w:pPr>
        <w:keepNext w:val="0"/>
        <w:keepLines w:val="0"/>
        <w:pageBreakBefore w:val="0"/>
        <w:widowControl w:val="0"/>
        <w:kinsoku/>
        <w:wordWrap/>
        <w:overflowPunct/>
        <w:autoSpaceDE/>
        <w:autoSpaceDN/>
        <w:bidi w:val="0"/>
        <w:adjustRightInd/>
        <w:spacing w:line="540" w:lineRule="exact"/>
        <w:ind w:firstLine="42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（三）申请文件不齐全或不符合规定的；</w:t>
      </w:r>
    </w:p>
    <w:p w14:paraId="496642D9">
      <w:pPr>
        <w:keepNext w:val="0"/>
        <w:keepLines w:val="0"/>
        <w:pageBreakBefore w:val="0"/>
        <w:widowControl w:val="0"/>
        <w:kinsoku/>
        <w:wordWrap/>
        <w:overflowPunct/>
        <w:autoSpaceDE/>
        <w:autoSpaceDN/>
        <w:bidi w:val="0"/>
        <w:adjustRightInd/>
        <w:spacing w:line="540" w:lineRule="exact"/>
        <w:ind w:firstLine="42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（四）法律法规规定的其他情形。</w:t>
      </w:r>
    </w:p>
    <w:p w14:paraId="2EF3E259">
      <w:pPr>
        <w:keepNext w:val="0"/>
        <w:keepLines w:val="0"/>
        <w:pageBreakBefore w:val="0"/>
        <w:widowControl w:val="0"/>
        <w:kinsoku/>
        <w:wordWrap/>
        <w:overflowPunct/>
        <w:autoSpaceDE/>
        <w:autoSpaceDN/>
        <w:bidi w:val="0"/>
        <w:adjustRightInd/>
        <w:spacing w:line="54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九、答疑及现场踏勘</w:t>
      </w:r>
    </w:p>
    <w:p w14:paraId="24273B4C">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仿宋_GB2312" w:hAnsi="仿宋_GB2312" w:eastAsia="仿宋_GB2312" w:cs="仿宋_GB2312"/>
          <w:kern w:val="2"/>
          <w:sz w:val="32"/>
          <w:szCs w:val="22"/>
          <w:lang w:val="en-US" w:eastAsia="zh-CN" w:bidi="ar-SA"/>
        </w:rPr>
        <w:t>竞买人必须全面阅读有关网上挂牌出让文件，对挂牌文件及宗地现状有疑问的，可通过电话向开发区·铁山区公共资源交易中心咨询，开发区·铁山区公共资源交易中心及时就咨询事项给予答复（咨询电话：</w:t>
      </w:r>
      <w:r>
        <w:rPr>
          <w:rFonts w:hint="eastAsia" w:ascii="Times New Roman" w:hAnsi="Times New Roman" w:eastAsia="仿宋_GB2312" w:cs="Times New Roman"/>
          <w:kern w:val="2"/>
          <w:sz w:val="32"/>
          <w:szCs w:val="24"/>
          <w:lang w:val="en-US" w:eastAsia="zh-CN" w:bidi="ar-SA"/>
        </w:rPr>
        <w:t>6393488）。也可向黄石市自然资源和规划局开发区·铁山区分局及开发区·铁山区公共资源交易中心申请组织现场踏勘。</w:t>
      </w:r>
    </w:p>
    <w:p w14:paraId="1E0106D3">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十、本次挂牌出让活动有关时间具体如下：</w:t>
      </w:r>
    </w:p>
    <w:p w14:paraId="26ABF9C5">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1、挂牌起始时间：2026年10月21日上午10时；</w:t>
      </w:r>
    </w:p>
    <w:p w14:paraId="24D9DB1F">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2、挂牌截止时间：2026年11月2日上午10时。</w:t>
      </w:r>
    </w:p>
    <w:p w14:paraId="3F120E67">
      <w:pPr>
        <w:keepNext w:val="0"/>
        <w:keepLines w:val="0"/>
        <w:pageBreakBefore w:val="0"/>
        <w:widowControl w:val="0"/>
        <w:kinsoku/>
        <w:wordWrap/>
        <w:overflowPunct/>
        <w:autoSpaceDE/>
        <w:autoSpaceDN/>
        <w:bidi w:val="0"/>
        <w:adjustRightInd/>
        <w:spacing w:line="54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十一、挂牌程序</w:t>
      </w:r>
    </w:p>
    <w:p w14:paraId="6E999693">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（一）在中国土地市场网、黄石市公共资源交易网、市自然资源和规划局、黄石日报等网站和媒体发布网上挂牌出让公告、出让宗地相关信息；</w:t>
      </w:r>
    </w:p>
    <w:p w14:paraId="3D2054D6">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（二）在挂牌期内，有意竞买者通过注册申请并缴纳竞买保证金至指定账户后，取得竞买资格；</w:t>
      </w:r>
    </w:p>
    <w:p w14:paraId="0D8F6CDA">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（三）竞买人在挂牌期内参与竞买，报价经系统确认无误后即显示为当前报价；</w:t>
      </w:r>
    </w:p>
    <w:p w14:paraId="6E3E84AA">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（四）网上交易系统根据挂牌截止时的最高报价且不低于底价的自动确定竞得人，竞得人可以下载系统生成的《成交确认书》及相关文件。</w:t>
      </w:r>
    </w:p>
    <w:p w14:paraId="29615CF1">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（五）出让结果公布</w:t>
      </w:r>
    </w:p>
    <w:p w14:paraId="57F7CC24">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开发区·铁山区公共资源交易中心将在此次国有土地使用权挂牌出让活动结束后10个工作日内，在中国土地市场网、黄石市公共资源交易网等网站上公布本次国有建设用地使用权网上挂牌出让结果。</w:t>
      </w:r>
    </w:p>
    <w:p w14:paraId="270ECEA1">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十二、本次网上挂牌出让交易的报价规则详见黄石市公共资源交易网“国有土地出让”栏目网上交易系统上发布的《黄石市关于国有建设用地使用权网上挂牌出让规则》第四章、第五章。</w:t>
      </w:r>
    </w:p>
    <w:p w14:paraId="208BA1A0">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（一）宗地的竞买保证金为：</w:t>
      </w:r>
    </w:p>
    <w:p w14:paraId="056ED9A9">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HG26014号地块为人民币大写肆佰贰拾壹万元整（￥：  4210000元整）；</w:t>
      </w:r>
    </w:p>
    <w:p w14:paraId="66BF17DC">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 xml:space="preserve">（二）宗地的出让起始价、增价幅度 </w:t>
      </w:r>
    </w:p>
    <w:p w14:paraId="66333581">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HG26014号地块：出让起始价为人民币大写捌佰肆拾壹万元整（￥：8410000元整）；</w:t>
      </w:r>
    </w:p>
    <w:p w14:paraId="2760E874">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增价幅度均为人民币大写壹拾万元或壹拾万元的整倍数。</w:t>
      </w:r>
    </w:p>
    <w:p w14:paraId="5F3396FD">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（三）初次报价不得低于起始价，初次报价后的每次报价应当比当前最高报价递增一个加价幅度，加价幅度不得小于本须知规定的增价幅度。</w:t>
      </w:r>
    </w:p>
    <w:p w14:paraId="5263474A">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（四）在报价期间，竞买人可多次报价。</w:t>
      </w:r>
    </w:p>
    <w:p w14:paraId="6165072C">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（五）竞买人通过系统提交的报价一经报出，不得撤回。</w:t>
      </w:r>
    </w:p>
    <w:p w14:paraId="5A0DD649">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（六）竞买人报价有下列情形之一的，为无效报价：</w:t>
      </w:r>
    </w:p>
    <w:p w14:paraId="09C9500D">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1、报价因竞买人网络故障未在挂牌报价期限内报价的；</w:t>
      </w:r>
    </w:p>
    <w:p w14:paraId="234E6923">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2、报价不符合报价规则的；</w:t>
      </w:r>
    </w:p>
    <w:p w14:paraId="3A4BA811">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3、报价与竞买文件不符的；</w:t>
      </w:r>
    </w:p>
    <w:p w14:paraId="3349F268">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4、报价不符合挂牌文件规定的其他情形的。</w:t>
      </w:r>
    </w:p>
    <w:p w14:paraId="667D2E85">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十三、注意事项</w:t>
      </w:r>
    </w:p>
    <w:p w14:paraId="095FAD6B">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一）申请人须全面阅读有关出让文件，如有疑问可以在出让活动开始日以前用书面或口头方式向黄石市自然资源和规划局开发区·铁山区分局咨询。申请人可到现场踏勘公开出让地块。申请一经受理确认后，即视为竞买人对公开出让文件及地块现状无异议并全部接受，并对有关承诺承担法律责任。</w:t>
      </w:r>
    </w:p>
    <w:p w14:paraId="15DBB1C7">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二）申请人竞得土地后，拟成立新公司进行开发建设的，应在申请书中明确新公司的出资构成、成立时间等内容。黄石市自然资源和规划局开发区·铁山区分局可以根据公开出让结果与竞得人签订《国有建设用地使用权出让合同》，在竞得人按约定办理完新公司注册登记手续后，再与新公司签订《国有建设用地使用权出让合同变更协议》，或者直接与新公司签订《国有建设用地使用权出让合同》。</w:t>
      </w:r>
    </w:p>
    <w:p w14:paraId="19E2F458">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非房地产开发企业或自然人申请竞得土地后，拟与有资质房地产开发公司签订联合开发合同，依照有关法律、行政法规的规定，作价入股，合资、合作开发经营房地产的，应在申请书中明确联合开发企业的名称、合作时间、方式等内容。黄石市自然资源和规划局开发区·铁山区分局可以根据公开出让结果与竞得人签订《国有建设用地使用权出让合同》，在竞得人按约定落实联合开发事项后，再与合作企业签订《国有建设用地使用权出让合同变更协议》，或者直接与合作企业签订《国有建设用地使用权出让合同》。</w:t>
      </w:r>
    </w:p>
    <w:p w14:paraId="733DE715">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（三）本次公开出让地块均设有出让底价，在公开出让活动结束前须严格保密。</w:t>
      </w:r>
    </w:p>
    <w:p w14:paraId="379F764A">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（四）网上竞买报价一经提交，不可撤回。</w:t>
      </w:r>
    </w:p>
    <w:p w14:paraId="03C6498A">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五）确定竞得人后，竞得人与挂牌人签订《成交确认书》。委托他人代签的，应提交法定代表人亲笔签名并盖章的授权委托书。《成交确认书》对出让人和竞得人具有法律效力，出让人改变网上出让结果的，或者竞得人放弃竞得宗地的，应当承担法律责任。</w:t>
      </w:r>
    </w:p>
    <w:p w14:paraId="3DB41FDA">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（六）竞得人交纳的竞买保证金，出让成交后3个工作日内办理了《成交确认书》的，保证金转作受让地块的定金。未竞得人交纳的竞买保证金，在出让活动结束后5个工作日内予以退还，不计利息。</w:t>
      </w:r>
    </w:p>
    <w:p w14:paraId="4CCE11CC">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（七）竞得人与出让人签订《国有建设用地使用权出让合同》后，应当按出让合同约定支付出让成交价款。竞得人付清全部出让成交价款后，依法申请办理土地登记手续。</w:t>
      </w:r>
    </w:p>
    <w:p w14:paraId="15514AB8">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（八）挂牌期满，网上挂牌出让成交确认系统根据下列条件自动确定竞得人：</w:t>
      </w:r>
    </w:p>
    <w:p w14:paraId="09372ACC">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1、在挂牌期限内，只有一个竞买人报价，且报价等于或高于底价，挂牌成交；</w:t>
      </w:r>
    </w:p>
    <w:p w14:paraId="7C1195E5">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2、在挂牌期限内，有两个或者两个以上竞买人报价的，报价等于或高于底价，且出价最高者为竞得人；</w:t>
      </w:r>
    </w:p>
    <w:p w14:paraId="4B44A7C5">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3、在挂牌期限内，无应价者或竞买人的报价均低于底价的，挂牌不成交；</w:t>
      </w:r>
    </w:p>
    <w:p w14:paraId="77182172">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4、在挂牌期限截止前10分钟，竞买人必须在挂牌报价期间最少有一次报价，才能进入最后的限时报价；</w:t>
      </w:r>
    </w:p>
    <w:p w14:paraId="1782B25E">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5、在挂牌期限截止时前10分钟内仍有竞买人报价的，将对挂牌宗地进行网上限时竞价，报价最高且报价等于或高于底价者为竞得人。</w:t>
      </w:r>
    </w:p>
    <w:p w14:paraId="180F7D28">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6、本次交易活动限制存在失信记录的竞买申请人参与本次网上挂牌出让活动。竞买申请人提交申请前应当自行通过“信用中国”网站（http://www.creditchina.gov.cn）或各级信用共享平台查询是否有失信记录，并须做到在参加网上挂牌竞买活动期间无失信记录。竞得人在签订《成交确认书》前，黄石市自然资源和规划开发区·铁山区分局通过“信用中国”网站查询竞得人是否存在失信记录并截图取证，竞得人存在失信记录的取消其竞得资格，交易结果无效，交纳的竞买保证金不予退还。</w:t>
      </w:r>
    </w:p>
    <w:p w14:paraId="11D50AD1">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7、本次公开出让地块均设有出让底价，在公开出让活动结束前须严格保密。</w:t>
      </w:r>
    </w:p>
    <w:p w14:paraId="5D5CA79E">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8、竞得人应当在成交之日起3个工作日办理《成交确认书》。同时将竞买保证金转作受让地块的定金；在规定时间内未办理《成交确认书》的，保证金不予退还并承担法律责任，未竞得人的竞买保证金将于网上挂牌活动结束后5个工作日内不计利息全额退还。</w:t>
      </w:r>
    </w:p>
    <w:p w14:paraId="69D11975">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（九）有下列情形之一的，开发区·铁山区公共资源交易中心将中（终）止挂牌活动：</w:t>
      </w:r>
    </w:p>
    <w:p w14:paraId="3722EE14">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1、因系统遭受破坏或发生电力、网络故障等不可抗力以及网络恶意入侵等非挂牌人因素，导致系统不能正常运行的；</w:t>
      </w:r>
    </w:p>
    <w:p w14:paraId="492D776A">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2、竞买人串通损害国家利益、社会利益或他人合法权益的；</w:t>
      </w:r>
    </w:p>
    <w:p w14:paraId="076AA853">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3、出让工作人员私下接触竞买人，足以影响公开出让公正性的；</w:t>
      </w:r>
    </w:p>
    <w:p w14:paraId="0E071301">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4、应当依法中（终）止公开出让活动的其他情形。</w:t>
      </w:r>
    </w:p>
    <w:p w14:paraId="42F91EA0">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（十）竞得人有下列行为的视为违约，视为违约，挂牌人可取消其竞得人资格，竞买保证金不予退还：</w:t>
      </w:r>
    </w:p>
    <w:p w14:paraId="4AAC19B2">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1、竞得人逾期或拒绝签订《成交确认书》的；</w:t>
      </w:r>
    </w:p>
    <w:p w14:paraId="474AF5B8">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2、竞得人逾期或拒绝签订《国有建设用地使用权出让合同》的；</w:t>
      </w:r>
    </w:p>
    <w:p w14:paraId="3842B4A2">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（十一）竞得人有下列行为之一的，竞得结果无效，造成损失的，应当依法承担赔偿责任：</w:t>
      </w:r>
    </w:p>
    <w:p w14:paraId="3B4231E7">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1、采取行贿、恶意串通等非法手段竞得的；</w:t>
      </w:r>
    </w:p>
    <w:p w14:paraId="25E6D65B">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2、提供的注册信息不真实、不准确、不完整等原因造成宗地出让无法成交的；</w:t>
      </w:r>
    </w:p>
    <w:p w14:paraId="36F6A529">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3、不按网上注册时登记的内容提供有关文件材料，或提供虚假文件材料、隐瞒事实，引起出让纠纷的；</w:t>
      </w:r>
    </w:p>
    <w:p w14:paraId="5C37E84C">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4、构成违约责任的其他行为。</w:t>
      </w:r>
    </w:p>
    <w:p w14:paraId="3C77DB4A">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（十二）上述宗地出让成交价为宗地的总地价款。</w:t>
      </w:r>
    </w:p>
    <w:p w14:paraId="18A5E50B">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十三）竞得人与出让人签订《国有建设用地使用权出让合同》后，应当按出让合同约定支付出让成交价款，竞得人不能按时支付国有建设用地使用权出让价款的，自滞纳之日起，每日按迟延支付款项的1‰向出让人缴纳违约金。竞得人付清全部出让成交价款后，依法申请办理土地登记。</w:t>
      </w:r>
    </w:p>
    <w:p w14:paraId="32737F7B">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24"/>
        </w:rPr>
      </w:pPr>
      <w:r>
        <w:rPr>
          <w:rFonts w:hint="eastAsia" w:ascii="Times New Roman" w:hAnsi="Times New Roman" w:eastAsia="仿宋_GB2312" w:cs="Times New Roman"/>
          <w:kern w:val="2"/>
          <w:sz w:val="32"/>
          <w:szCs w:val="24"/>
          <w:lang w:val="en-US" w:eastAsia="zh-CN" w:bidi="ar-SA"/>
        </w:rPr>
        <w:t>（十四）公开出让不成交的，应当按规定由黄石市自然资源和规划局开发区·铁山区分局组织出让。</w:t>
      </w:r>
    </w:p>
    <w:p w14:paraId="7C179BC3">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24"/>
        </w:rPr>
      </w:pP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十五</w:t>
      </w: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黄石市自然资源和规划局开发区·铁山区分局和开发区</w:t>
      </w:r>
      <w:r>
        <w:rPr>
          <w:rFonts w:hint="eastAsia" w:ascii="仿宋_GB2312" w:hAnsi="仿宋_GB2312" w:eastAsia="仿宋_GB2312" w:cs="仿宋_GB2312"/>
          <w:sz w:val="32"/>
          <w:szCs w:val="24"/>
          <w:lang w:val="en-US" w:eastAsia="zh-CN"/>
        </w:rPr>
        <w:t>·</w:t>
      </w:r>
      <w:r>
        <w:rPr>
          <w:rFonts w:hint="eastAsia" w:ascii="仿宋_GB2312" w:hAnsi="仿宋_GB2312" w:eastAsia="仿宋_GB2312" w:cs="仿宋_GB2312"/>
          <w:sz w:val="32"/>
          <w:szCs w:val="24"/>
        </w:rPr>
        <w:t>铁山区公共资源交易中心对本《出让须知》有解释权。未尽事宜依照《招标拍卖挂牌出让国有土地使用权规范》办理。</w:t>
      </w:r>
    </w:p>
    <w:p w14:paraId="6A4ED458">
      <w:pPr>
        <w:keepNext w:val="0"/>
        <w:keepLines w:val="0"/>
        <w:pageBreakBefore w:val="0"/>
        <w:widowControl w:val="0"/>
        <w:kinsoku/>
        <w:wordWrap/>
        <w:overflowPunct/>
        <w:autoSpaceDE/>
        <w:autoSpaceDN/>
        <w:bidi w:val="0"/>
        <w:adjustRightInd/>
        <w:spacing w:line="540" w:lineRule="exact"/>
        <w:ind w:firstLine="320" w:firstLineChars="100"/>
        <w:jc w:val="both"/>
        <w:textAlignment w:val="auto"/>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出让人: 黄石市自然资源和规划局开发区·铁山区分局</w:t>
      </w:r>
    </w:p>
    <w:p w14:paraId="48D96385">
      <w:pPr>
        <w:keepNext w:val="0"/>
        <w:keepLines w:val="0"/>
        <w:pageBreakBefore w:val="0"/>
        <w:widowControl w:val="0"/>
        <w:kinsoku/>
        <w:wordWrap/>
        <w:overflowPunct/>
        <w:autoSpaceDE/>
        <w:autoSpaceDN/>
        <w:bidi w:val="0"/>
        <w:adjustRightInd/>
        <w:spacing w:line="540" w:lineRule="exact"/>
        <w:ind w:firstLine="320" w:firstLineChars="100"/>
        <w:textAlignment w:val="auto"/>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挂牌人：黄石经济技术开发区·铁山区公共资源交易中心</w:t>
      </w:r>
    </w:p>
    <w:p w14:paraId="5EF9F5FC">
      <w:pPr>
        <w:keepNext w:val="0"/>
        <w:keepLines w:val="0"/>
        <w:pageBreakBefore w:val="0"/>
        <w:widowControl w:val="0"/>
        <w:kinsoku/>
        <w:wordWrap/>
        <w:overflowPunct/>
        <w:autoSpaceDE/>
        <w:autoSpaceDN/>
        <w:bidi w:val="0"/>
        <w:adjustRightInd/>
        <w:spacing w:line="540" w:lineRule="exact"/>
        <w:ind w:firstLine="4800" w:firstLineChars="1500"/>
        <w:textAlignment w:val="auto"/>
        <w:rPr>
          <w:rFonts w:hint="eastAsia" w:ascii="仿宋_GB2312" w:hAnsi="仿宋_GB2312" w:eastAsia="仿宋_GB2312" w:cs="仿宋_GB2312"/>
          <w:sz w:val="32"/>
          <w:szCs w:val="24"/>
        </w:rPr>
      </w:pPr>
    </w:p>
    <w:p w14:paraId="6544AAF1">
      <w:pPr>
        <w:keepNext w:val="0"/>
        <w:keepLines w:val="0"/>
        <w:pageBreakBefore w:val="0"/>
        <w:widowControl w:val="0"/>
        <w:kinsoku/>
        <w:wordWrap/>
        <w:overflowPunct/>
        <w:topLinePunct/>
        <w:autoSpaceDE/>
        <w:autoSpaceDN/>
        <w:bidi w:val="0"/>
        <w:adjustRightInd/>
        <w:snapToGrid w:val="0"/>
        <w:spacing w:line="540" w:lineRule="exact"/>
        <w:ind w:firstLine="640" w:firstLineChars="200"/>
        <w:jc w:val="right"/>
        <w:textAlignment w:val="auto"/>
        <w:rPr>
          <w:rFonts w:hint="eastAsia" w:ascii="Times New Roman" w:hAnsi="Times New Roman" w:eastAsia="仿宋_GB2312" w:cs="Times New Roman"/>
          <w:kern w:val="2"/>
          <w:sz w:val="32"/>
          <w:szCs w:val="24"/>
          <w:lang w:val="en-US" w:eastAsia="zh-CN" w:bidi="ar-SA"/>
        </w:rPr>
      </w:pPr>
    </w:p>
    <w:p w14:paraId="50FE72C8">
      <w:pPr>
        <w:keepNext w:val="0"/>
        <w:keepLines w:val="0"/>
        <w:pageBreakBefore w:val="0"/>
        <w:widowControl w:val="0"/>
        <w:kinsoku/>
        <w:wordWrap/>
        <w:overflowPunct/>
        <w:topLinePunct/>
        <w:autoSpaceDE/>
        <w:autoSpaceDN/>
        <w:bidi w:val="0"/>
        <w:adjustRightInd/>
        <w:snapToGrid w:val="0"/>
        <w:spacing w:line="540" w:lineRule="exact"/>
        <w:ind w:firstLine="640" w:firstLineChars="200"/>
        <w:jc w:val="right"/>
        <w:textAlignment w:val="auto"/>
        <w:rPr>
          <w:rFonts w:ascii="Times New Roman" w:hAnsi="Times New Roman" w:eastAsia="仿宋_GB2312" w:cs="Times New Roman"/>
          <w:sz w:val="32"/>
          <w:szCs w:val="24"/>
        </w:rPr>
      </w:pPr>
      <w:r>
        <w:rPr>
          <w:rFonts w:hint="eastAsia" w:ascii="Times New Roman" w:hAnsi="Times New Roman" w:eastAsia="仿宋_GB2312" w:cs="Times New Roman"/>
          <w:kern w:val="2"/>
          <w:sz w:val="32"/>
          <w:szCs w:val="24"/>
          <w:lang w:val="en-US" w:eastAsia="zh-CN" w:bidi="ar-SA"/>
        </w:rPr>
        <w:t>2026年10月1日</w:t>
      </w:r>
    </w:p>
    <w:sectPr>
      <w:footerReference r:id="rId3" w:type="default"/>
      <w:pgSz w:w="11906" w:h="16838"/>
      <w:pgMar w:top="1440" w:right="1701" w:bottom="1440"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monospace">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C3A3C">
    <w:pPr>
      <w:pStyle w:val="5"/>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_x0000_s1025"/>
              <wp:cNvGraphicFramePr/>
              <a:graphic xmlns:a="http://schemas.openxmlformats.org/drawingml/2006/main">
                <a:graphicData uri="http://schemas.microsoft.com/office/word/2010/wordprocessingShape">
                  <wps:wsp>
                    <wps:cNvSpPr/>
                    <wps:spPr>
                      <a:xfrm>
                        <a:off x="0" y="0"/>
                        <a:ext cx="1828800" cy="1828800"/>
                      </a:xfrm>
                      <a:prstGeom prst="rect">
                        <a:avLst/>
                      </a:prstGeom>
                    </wps:spPr>
                    <wps:txbx>
                      <w:txbxContent>
                        <w:p w14:paraId="1819193D">
                          <w:pPr>
                            <w:pStyle w:val="5"/>
                            <w:jc w:val="center"/>
                          </w:pPr>
                          <w:r>
                            <w:rPr>
                              <w:rFonts w:hint="eastAsia"/>
                            </w:rPr>
                            <w:fldChar w:fldCharType="begin"/>
                          </w:r>
                          <w:r>
                            <w:rPr>
                              <w:rFonts w:hint="eastAsia"/>
                            </w:rPr>
                            <w:instrText xml:space="preserve"> PAGE  \* MERGEFORMAT </w:instrText>
                          </w:r>
                          <w:r>
                            <w:rPr>
                              <w:rFonts w:hint="eastAsia"/>
                            </w:rPr>
                            <w:fldChar w:fldCharType="separate"/>
                          </w:r>
                          <w:r>
                            <w:t>11</w:t>
                          </w:r>
                          <w:r>
                            <w:rPr>
                              <w:rFonts w:hint="eastAsia"/>
                            </w:rPr>
                            <w:fldChar w:fldCharType="end"/>
                          </w:r>
                        </w:p>
                      </w:txbxContent>
                    </wps:txbx>
                    <wps:bodyPr rot="0" vert="horz" wrap="square" lIns="91440" tIns="45720" rIns="91440" bIns="45720" anchor="t" anchorCtr="0"/>
                  </wps:wsp>
                </a:graphicData>
              </a:graphic>
            </wp:anchor>
          </w:drawing>
        </mc:Choice>
        <mc:Fallback>
          <w:pict>
            <v:rect id="_x0000_s1025" o:spid="_x0000_s1026" o:spt="1"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ClBleC6AQAAhgMAAA4AAABkcnMvZTJvRG9jLnhtbK1Ty27bMBC8&#10;F+g/ELzXesBJXcFyDjFSFAjaAGnPAU1RFgHxkV3akvv1XVKKY6SXHKIDtaslhzOzq/XNaHp2VIDa&#10;2ZoXi5wzZaVrtN3X/M/vuy8rzjAI24jeWVXzk0J+s/n8aT34SpWuc32jgBGIxWrwNe9C8FWWoeyU&#10;EbhwXlkqtg6MCJTCPmtADIRu+qzM8+tscNB4cFIh0tftVOQzIrwH0LWtlmrr5MEoGyZUUL0IJAk7&#10;7ZFvEtu2VTL8altUgfU1J6UhrXQJxbu4Zpu1qPYgfKflTEG8h8IbTUZoS5eeobYiCHYA/R+U0RIc&#10;ujYspDPZJCQ5QiqK/I03j53wKmkhq9GfTcePg5U/jw/AdEOTwJkVhhr+NOb0PGGRl1fRn8FjRdse&#10;/QPMGVIYxY4tmPgmGWxMnp7OnqoxMEkfi1W5WuVkt6TaS0I42etxDxi+K2dYDGoO1LTkpTjeY5i2&#10;vmyhc5HORCBGYdyNM6uda06kBdzUZBpxCjoHfzkbqME1x+eDAMVZ/8OSg9+K5TJOREqWV19LSuCy&#10;srusCCsJquaBsym8DWmKIr3Ig9qTNM2jFPt/maddr7/P5h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DYxs8E0wAAAAUBAAAPAAAAAAAAAAEAIAAAACIAAABkcnMvZG93bnJldi54bWxQSwECFAAUAAAA&#10;CACHTuJAKUGV4LoBAACGAwAADgAAAAAAAAABACAAAAAiAQAAZHJzL2Uyb0RvYy54bWxQSwUGAAAA&#10;AAYABgBZAQAATgUAAAAA&#10;">
              <v:fill on="f" focussize="0,0"/>
              <v:stroke on="f"/>
              <v:imagedata o:title=""/>
              <o:lock v:ext="edit" aspectratio="f"/>
              <v:textbox>
                <w:txbxContent>
                  <w:p w14:paraId="1819193D">
                    <w:pPr>
                      <w:pStyle w:val="5"/>
                      <w:jc w:val="center"/>
                    </w:pPr>
                    <w:r>
                      <w:rPr>
                        <w:rFonts w:hint="eastAsia"/>
                      </w:rPr>
                      <w:fldChar w:fldCharType="begin"/>
                    </w:r>
                    <w:r>
                      <w:rPr>
                        <w:rFonts w:hint="eastAsia"/>
                      </w:rPr>
                      <w:instrText xml:space="preserve"> PAGE  \* MERGEFORMAT </w:instrText>
                    </w:r>
                    <w:r>
                      <w:rPr>
                        <w:rFonts w:hint="eastAsia"/>
                      </w:rPr>
                      <w:fldChar w:fldCharType="separate"/>
                    </w:r>
                    <w:r>
                      <w:t>11</w:t>
                    </w:r>
                    <w:r>
                      <w:rPr>
                        <w:rFonts w:hint="eastAsia"/>
                      </w:rPr>
                      <w:fldChar w:fldCharType="end"/>
                    </w:r>
                  </w:p>
                </w:txbxContent>
              </v:textbox>
            </v:rect>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A5D"/>
    <w:rsid w:val="000008D0"/>
    <w:rsid w:val="00004F04"/>
    <w:rsid w:val="00010612"/>
    <w:rsid w:val="000155DE"/>
    <w:rsid w:val="00021714"/>
    <w:rsid w:val="00022C88"/>
    <w:rsid w:val="0003006F"/>
    <w:rsid w:val="000360C6"/>
    <w:rsid w:val="00040078"/>
    <w:rsid w:val="00046391"/>
    <w:rsid w:val="00054814"/>
    <w:rsid w:val="0006111E"/>
    <w:rsid w:val="00063709"/>
    <w:rsid w:val="00066B38"/>
    <w:rsid w:val="00073F90"/>
    <w:rsid w:val="00075A9E"/>
    <w:rsid w:val="00080FB7"/>
    <w:rsid w:val="00082612"/>
    <w:rsid w:val="00082AA2"/>
    <w:rsid w:val="000B0EB8"/>
    <w:rsid w:val="000B1ECF"/>
    <w:rsid w:val="000B3D8B"/>
    <w:rsid w:val="000C630A"/>
    <w:rsid w:val="000D1027"/>
    <w:rsid w:val="000D10FB"/>
    <w:rsid w:val="000D77A0"/>
    <w:rsid w:val="000E0549"/>
    <w:rsid w:val="000E0A58"/>
    <w:rsid w:val="000F4CF7"/>
    <w:rsid w:val="00115F50"/>
    <w:rsid w:val="001173F3"/>
    <w:rsid w:val="00122601"/>
    <w:rsid w:val="0012633E"/>
    <w:rsid w:val="00126EAE"/>
    <w:rsid w:val="001469DB"/>
    <w:rsid w:val="0014738A"/>
    <w:rsid w:val="0015747B"/>
    <w:rsid w:val="00167B5F"/>
    <w:rsid w:val="001744D0"/>
    <w:rsid w:val="00175EB1"/>
    <w:rsid w:val="00176039"/>
    <w:rsid w:val="00176C20"/>
    <w:rsid w:val="0018022C"/>
    <w:rsid w:val="001815B7"/>
    <w:rsid w:val="001849B7"/>
    <w:rsid w:val="00197F4C"/>
    <w:rsid w:val="001B147E"/>
    <w:rsid w:val="001B20EF"/>
    <w:rsid w:val="001B5625"/>
    <w:rsid w:val="001D4BFD"/>
    <w:rsid w:val="001E08E8"/>
    <w:rsid w:val="001E48C0"/>
    <w:rsid w:val="001F1D26"/>
    <w:rsid w:val="001F1F6A"/>
    <w:rsid w:val="0020179C"/>
    <w:rsid w:val="00202E11"/>
    <w:rsid w:val="0020498D"/>
    <w:rsid w:val="00207AAB"/>
    <w:rsid w:val="0021316A"/>
    <w:rsid w:val="00215542"/>
    <w:rsid w:val="00220622"/>
    <w:rsid w:val="00257217"/>
    <w:rsid w:val="0027323F"/>
    <w:rsid w:val="002743F7"/>
    <w:rsid w:val="00275E69"/>
    <w:rsid w:val="002809E8"/>
    <w:rsid w:val="00281461"/>
    <w:rsid w:val="00284361"/>
    <w:rsid w:val="002919D0"/>
    <w:rsid w:val="002A152A"/>
    <w:rsid w:val="002A781A"/>
    <w:rsid w:val="002B1832"/>
    <w:rsid w:val="002B36FE"/>
    <w:rsid w:val="002B6325"/>
    <w:rsid w:val="002B6CD9"/>
    <w:rsid w:val="002C0EBE"/>
    <w:rsid w:val="002C7C74"/>
    <w:rsid w:val="00302907"/>
    <w:rsid w:val="00317085"/>
    <w:rsid w:val="0031733F"/>
    <w:rsid w:val="00324BB7"/>
    <w:rsid w:val="003467BF"/>
    <w:rsid w:val="00356BC7"/>
    <w:rsid w:val="00360490"/>
    <w:rsid w:val="003617D8"/>
    <w:rsid w:val="00377185"/>
    <w:rsid w:val="003837D5"/>
    <w:rsid w:val="00390ECF"/>
    <w:rsid w:val="00391A6F"/>
    <w:rsid w:val="003A334F"/>
    <w:rsid w:val="003A4FC0"/>
    <w:rsid w:val="003B0C54"/>
    <w:rsid w:val="003C1063"/>
    <w:rsid w:val="003C1492"/>
    <w:rsid w:val="003E42BE"/>
    <w:rsid w:val="003E500D"/>
    <w:rsid w:val="003F0396"/>
    <w:rsid w:val="003F67BE"/>
    <w:rsid w:val="003F73D7"/>
    <w:rsid w:val="00400109"/>
    <w:rsid w:val="00414D75"/>
    <w:rsid w:val="00415166"/>
    <w:rsid w:val="004158C8"/>
    <w:rsid w:val="00421463"/>
    <w:rsid w:val="004227C8"/>
    <w:rsid w:val="004239DF"/>
    <w:rsid w:val="004262BA"/>
    <w:rsid w:val="0043534A"/>
    <w:rsid w:val="004424CB"/>
    <w:rsid w:val="0044430C"/>
    <w:rsid w:val="00446DCF"/>
    <w:rsid w:val="00460970"/>
    <w:rsid w:val="00461637"/>
    <w:rsid w:val="00462711"/>
    <w:rsid w:val="00470E54"/>
    <w:rsid w:val="00473BC6"/>
    <w:rsid w:val="00475692"/>
    <w:rsid w:val="00476328"/>
    <w:rsid w:val="004774CD"/>
    <w:rsid w:val="00484500"/>
    <w:rsid w:val="004868C1"/>
    <w:rsid w:val="004911B9"/>
    <w:rsid w:val="00496C50"/>
    <w:rsid w:val="00497608"/>
    <w:rsid w:val="004D2A72"/>
    <w:rsid w:val="004D3E6C"/>
    <w:rsid w:val="004D6351"/>
    <w:rsid w:val="004E1B3F"/>
    <w:rsid w:val="004E4598"/>
    <w:rsid w:val="004F24DC"/>
    <w:rsid w:val="004F4559"/>
    <w:rsid w:val="005019B8"/>
    <w:rsid w:val="00510EC0"/>
    <w:rsid w:val="0051242A"/>
    <w:rsid w:val="00514398"/>
    <w:rsid w:val="0051610A"/>
    <w:rsid w:val="0052262E"/>
    <w:rsid w:val="00570A22"/>
    <w:rsid w:val="0057189C"/>
    <w:rsid w:val="00571BBF"/>
    <w:rsid w:val="005766A0"/>
    <w:rsid w:val="00594BA5"/>
    <w:rsid w:val="005A17B0"/>
    <w:rsid w:val="005A7DF2"/>
    <w:rsid w:val="005B152D"/>
    <w:rsid w:val="005B1EAA"/>
    <w:rsid w:val="005F2BB6"/>
    <w:rsid w:val="005F7B1F"/>
    <w:rsid w:val="006034C7"/>
    <w:rsid w:val="0060684E"/>
    <w:rsid w:val="006238F3"/>
    <w:rsid w:val="00627036"/>
    <w:rsid w:val="0062771F"/>
    <w:rsid w:val="00634FF6"/>
    <w:rsid w:val="00642BC1"/>
    <w:rsid w:val="00642C6C"/>
    <w:rsid w:val="00646695"/>
    <w:rsid w:val="006546C0"/>
    <w:rsid w:val="006678E3"/>
    <w:rsid w:val="00673E1B"/>
    <w:rsid w:val="00674955"/>
    <w:rsid w:val="00685C02"/>
    <w:rsid w:val="00686651"/>
    <w:rsid w:val="00693584"/>
    <w:rsid w:val="00697DA2"/>
    <w:rsid w:val="006A7DA4"/>
    <w:rsid w:val="006B1C4E"/>
    <w:rsid w:val="006B6994"/>
    <w:rsid w:val="006C18A5"/>
    <w:rsid w:val="006C3137"/>
    <w:rsid w:val="006C690A"/>
    <w:rsid w:val="006E1C7E"/>
    <w:rsid w:val="006E1FBF"/>
    <w:rsid w:val="006F1E34"/>
    <w:rsid w:val="006F5332"/>
    <w:rsid w:val="00714043"/>
    <w:rsid w:val="00723213"/>
    <w:rsid w:val="00723656"/>
    <w:rsid w:val="00725D6C"/>
    <w:rsid w:val="0073033B"/>
    <w:rsid w:val="00731E68"/>
    <w:rsid w:val="00735393"/>
    <w:rsid w:val="00736F0D"/>
    <w:rsid w:val="00741794"/>
    <w:rsid w:val="00742947"/>
    <w:rsid w:val="0074405C"/>
    <w:rsid w:val="00746B3A"/>
    <w:rsid w:val="00746FF8"/>
    <w:rsid w:val="00747029"/>
    <w:rsid w:val="0075001B"/>
    <w:rsid w:val="007517E8"/>
    <w:rsid w:val="00751FDD"/>
    <w:rsid w:val="00756408"/>
    <w:rsid w:val="00760E1A"/>
    <w:rsid w:val="00760EF7"/>
    <w:rsid w:val="00781081"/>
    <w:rsid w:val="00781E98"/>
    <w:rsid w:val="00784498"/>
    <w:rsid w:val="0079344E"/>
    <w:rsid w:val="00796437"/>
    <w:rsid w:val="007B405E"/>
    <w:rsid w:val="007B7305"/>
    <w:rsid w:val="007C7E07"/>
    <w:rsid w:val="007D40C3"/>
    <w:rsid w:val="007F0E91"/>
    <w:rsid w:val="007F48DD"/>
    <w:rsid w:val="00816A05"/>
    <w:rsid w:val="00824058"/>
    <w:rsid w:val="0082643B"/>
    <w:rsid w:val="00827601"/>
    <w:rsid w:val="00846CEB"/>
    <w:rsid w:val="0086025D"/>
    <w:rsid w:val="00861BDE"/>
    <w:rsid w:val="0086423C"/>
    <w:rsid w:val="008915BE"/>
    <w:rsid w:val="00897094"/>
    <w:rsid w:val="008B07D6"/>
    <w:rsid w:val="008B130D"/>
    <w:rsid w:val="008B2082"/>
    <w:rsid w:val="008B2183"/>
    <w:rsid w:val="008B6343"/>
    <w:rsid w:val="008C018E"/>
    <w:rsid w:val="008C07E4"/>
    <w:rsid w:val="008C4699"/>
    <w:rsid w:val="008C7714"/>
    <w:rsid w:val="008F7F2A"/>
    <w:rsid w:val="009139C1"/>
    <w:rsid w:val="00920D24"/>
    <w:rsid w:val="00922075"/>
    <w:rsid w:val="00926A57"/>
    <w:rsid w:val="0092726B"/>
    <w:rsid w:val="00930FEC"/>
    <w:rsid w:val="00932C9C"/>
    <w:rsid w:val="00943E8B"/>
    <w:rsid w:val="00945164"/>
    <w:rsid w:val="00953E81"/>
    <w:rsid w:val="00954A44"/>
    <w:rsid w:val="00956CDE"/>
    <w:rsid w:val="00960E31"/>
    <w:rsid w:val="00963C3C"/>
    <w:rsid w:val="009778F2"/>
    <w:rsid w:val="00977E80"/>
    <w:rsid w:val="00992B6C"/>
    <w:rsid w:val="009938D0"/>
    <w:rsid w:val="009944DD"/>
    <w:rsid w:val="00995B22"/>
    <w:rsid w:val="0099721E"/>
    <w:rsid w:val="009A349A"/>
    <w:rsid w:val="009A563A"/>
    <w:rsid w:val="009B0D72"/>
    <w:rsid w:val="009B4DEE"/>
    <w:rsid w:val="009C006F"/>
    <w:rsid w:val="009C19EE"/>
    <w:rsid w:val="009D06A6"/>
    <w:rsid w:val="009D5864"/>
    <w:rsid w:val="009E005E"/>
    <w:rsid w:val="009E7694"/>
    <w:rsid w:val="009F1E09"/>
    <w:rsid w:val="009F35C9"/>
    <w:rsid w:val="00A051BC"/>
    <w:rsid w:val="00A10FC7"/>
    <w:rsid w:val="00A11087"/>
    <w:rsid w:val="00A15227"/>
    <w:rsid w:val="00A15338"/>
    <w:rsid w:val="00A17916"/>
    <w:rsid w:val="00A334B8"/>
    <w:rsid w:val="00A34908"/>
    <w:rsid w:val="00A352A7"/>
    <w:rsid w:val="00A40EDF"/>
    <w:rsid w:val="00A42231"/>
    <w:rsid w:val="00A504AA"/>
    <w:rsid w:val="00A52E5B"/>
    <w:rsid w:val="00A53254"/>
    <w:rsid w:val="00A63A2B"/>
    <w:rsid w:val="00A811FD"/>
    <w:rsid w:val="00A826FF"/>
    <w:rsid w:val="00A8527E"/>
    <w:rsid w:val="00AA66D0"/>
    <w:rsid w:val="00AB0A5D"/>
    <w:rsid w:val="00AC1686"/>
    <w:rsid w:val="00AC5762"/>
    <w:rsid w:val="00AD0A94"/>
    <w:rsid w:val="00AD4022"/>
    <w:rsid w:val="00AD7FFD"/>
    <w:rsid w:val="00AE3F8B"/>
    <w:rsid w:val="00AE43B2"/>
    <w:rsid w:val="00B01671"/>
    <w:rsid w:val="00B032C9"/>
    <w:rsid w:val="00B1576D"/>
    <w:rsid w:val="00B1637B"/>
    <w:rsid w:val="00B17F44"/>
    <w:rsid w:val="00B22E72"/>
    <w:rsid w:val="00B2731D"/>
    <w:rsid w:val="00B40726"/>
    <w:rsid w:val="00B413B1"/>
    <w:rsid w:val="00B43CF7"/>
    <w:rsid w:val="00B556AF"/>
    <w:rsid w:val="00B57A73"/>
    <w:rsid w:val="00B677B9"/>
    <w:rsid w:val="00B752F3"/>
    <w:rsid w:val="00B81D6B"/>
    <w:rsid w:val="00B82EDC"/>
    <w:rsid w:val="00BA08F0"/>
    <w:rsid w:val="00BA4767"/>
    <w:rsid w:val="00BB66B2"/>
    <w:rsid w:val="00BD7937"/>
    <w:rsid w:val="00BF32EB"/>
    <w:rsid w:val="00BF4686"/>
    <w:rsid w:val="00C02664"/>
    <w:rsid w:val="00C06C17"/>
    <w:rsid w:val="00C10AAF"/>
    <w:rsid w:val="00C15EDC"/>
    <w:rsid w:val="00C30543"/>
    <w:rsid w:val="00C3371C"/>
    <w:rsid w:val="00C3432E"/>
    <w:rsid w:val="00C352AB"/>
    <w:rsid w:val="00C43D80"/>
    <w:rsid w:val="00C51C08"/>
    <w:rsid w:val="00C5746B"/>
    <w:rsid w:val="00C633E8"/>
    <w:rsid w:val="00C6388C"/>
    <w:rsid w:val="00C67B83"/>
    <w:rsid w:val="00C7779A"/>
    <w:rsid w:val="00C802D1"/>
    <w:rsid w:val="00C8277F"/>
    <w:rsid w:val="00C83973"/>
    <w:rsid w:val="00C97571"/>
    <w:rsid w:val="00C977C5"/>
    <w:rsid w:val="00CA61B8"/>
    <w:rsid w:val="00CC00F3"/>
    <w:rsid w:val="00CC1C71"/>
    <w:rsid w:val="00CC2594"/>
    <w:rsid w:val="00CD2D77"/>
    <w:rsid w:val="00CD3821"/>
    <w:rsid w:val="00CE047D"/>
    <w:rsid w:val="00CE0787"/>
    <w:rsid w:val="00CF2AE2"/>
    <w:rsid w:val="00D00235"/>
    <w:rsid w:val="00D00945"/>
    <w:rsid w:val="00D07A02"/>
    <w:rsid w:val="00D07E10"/>
    <w:rsid w:val="00D218CD"/>
    <w:rsid w:val="00D23A88"/>
    <w:rsid w:val="00D26A3A"/>
    <w:rsid w:val="00D304FA"/>
    <w:rsid w:val="00D527A7"/>
    <w:rsid w:val="00D67B60"/>
    <w:rsid w:val="00D70304"/>
    <w:rsid w:val="00D85435"/>
    <w:rsid w:val="00D86E83"/>
    <w:rsid w:val="00D90E59"/>
    <w:rsid w:val="00DA4E90"/>
    <w:rsid w:val="00DA5325"/>
    <w:rsid w:val="00DA53DD"/>
    <w:rsid w:val="00DA590A"/>
    <w:rsid w:val="00DB088B"/>
    <w:rsid w:val="00DB720E"/>
    <w:rsid w:val="00DB770D"/>
    <w:rsid w:val="00DC200F"/>
    <w:rsid w:val="00DC4514"/>
    <w:rsid w:val="00DC6A1F"/>
    <w:rsid w:val="00DD100E"/>
    <w:rsid w:val="00DD285A"/>
    <w:rsid w:val="00DD5D88"/>
    <w:rsid w:val="00DD6C22"/>
    <w:rsid w:val="00DF25AC"/>
    <w:rsid w:val="00E01F2B"/>
    <w:rsid w:val="00E12BB4"/>
    <w:rsid w:val="00E14B25"/>
    <w:rsid w:val="00E21E11"/>
    <w:rsid w:val="00E22346"/>
    <w:rsid w:val="00E314AF"/>
    <w:rsid w:val="00E36340"/>
    <w:rsid w:val="00E37524"/>
    <w:rsid w:val="00E421C3"/>
    <w:rsid w:val="00E43AA4"/>
    <w:rsid w:val="00E77EF3"/>
    <w:rsid w:val="00E80EC5"/>
    <w:rsid w:val="00E86004"/>
    <w:rsid w:val="00E86807"/>
    <w:rsid w:val="00E9138A"/>
    <w:rsid w:val="00E926A4"/>
    <w:rsid w:val="00E97C1F"/>
    <w:rsid w:val="00EA75DB"/>
    <w:rsid w:val="00EB3E11"/>
    <w:rsid w:val="00EB477F"/>
    <w:rsid w:val="00EC04EF"/>
    <w:rsid w:val="00EC30C7"/>
    <w:rsid w:val="00EC3C6F"/>
    <w:rsid w:val="00EC483C"/>
    <w:rsid w:val="00EC67CA"/>
    <w:rsid w:val="00EE0223"/>
    <w:rsid w:val="00EE19D2"/>
    <w:rsid w:val="00F0014C"/>
    <w:rsid w:val="00F14745"/>
    <w:rsid w:val="00F31EFB"/>
    <w:rsid w:val="00F373F3"/>
    <w:rsid w:val="00F40CAB"/>
    <w:rsid w:val="00F47D64"/>
    <w:rsid w:val="00F500C9"/>
    <w:rsid w:val="00F530B4"/>
    <w:rsid w:val="00F53719"/>
    <w:rsid w:val="00F5388E"/>
    <w:rsid w:val="00F601F4"/>
    <w:rsid w:val="00F64D7C"/>
    <w:rsid w:val="00F71BAD"/>
    <w:rsid w:val="00F82B1D"/>
    <w:rsid w:val="00F85075"/>
    <w:rsid w:val="00F8524C"/>
    <w:rsid w:val="00F877AC"/>
    <w:rsid w:val="00FA7A14"/>
    <w:rsid w:val="00FB50C0"/>
    <w:rsid w:val="00FB523A"/>
    <w:rsid w:val="00FB7598"/>
    <w:rsid w:val="00FC5570"/>
    <w:rsid w:val="00FC5966"/>
    <w:rsid w:val="00FC5C44"/>
    <w:rsid w:val="00FD04AA"/>
    <w:rsid w:val="00FE354B"/>
    <w:rsid w:val="00FE680C"/>
    <w:rsid w:val="00FF2500"/>
    <w:rsid w:val="026F4034"/>
    <w:rsid w:val="03885EBA"/>
    <w:rsid w:val="064C13A1"/>
    <w:rsid w:val="0A982E07"/>
    <w:rsid w:val="0A9B3267"/>
    <w:rsid w:val="0BC45707"/>
    <w:rsid w:val="0FBD2D33"/>
    <w:rsid w:val="0FE97C61"/>
    <w:rsid w:val="0FFC699D"/>
    <w:rsid w:val="12BC3906"/>
    <w:rsid w:val="14E626FA"/>
    <w:rsid w:val="170F61FF"/>
    <w:rsid w:val="1D144419"/>
    <w:rsid w:val="1F0B1E70"/>
    <w:rsid w:val="1FF42E04"/>
    <w:rsid w:val="21A34113"/>
    <w:rsid w:val="21D95D87"/>
    <w:rsid w:val="233419C8"/>
    <w:rsid w:val="234D1F10"/>
    <w:rsid w:val="26E86B9F"/>
    <w:rsid w:val="273807F7"/>
    <w:rsid w:val="2A1E615D"/>
    <w:rsid w:val="2BC929C8"/>
    <w:rsid w:val="2BD8775D"/>
    <w:rsid w:val="2E0B4AD5"/>
    <w:rsid w:val="302C5C1C"/>
    <w:rsid w:val="317A07B3"/>
    <w:rsid w:val="375F127B"/>
    <w:rsid w:val="381551E7"/>
    <w:rsid w:val="3966114F"/>
    <w:rsid w:val="3EED793E"/>
    <w:rsid w:val="40A67D91"/>
    <w:rsid w:val="43182221"/>
    <w:rsid w:val="44120C62"/>
    <w:rsid w:val="471C61D6"/>
    <w:rsid w:val="49C268F4"/>
    <w:rsid w:val="4A1C41B3"/>
    <w:rsid w:val="4BFF5B3B"/>
    <w:rsid w:val="4DAC59AE"/>
    <w:rsid w:val="4F367AC5"/>
    <w:rsid w:val="517A638F"/>
    <w:rsid w:val="51CE66DB"/>
    <w:rsid w:val="526112FD"/>
    <w:rsid w:val="540E62EE"/>
    <w:rsid w:val="541A79B6"/>
    <w:rsid w:val="54C87412"/>
    <w:rsid w:val="5A1804F3"/>
    <w:rsid w:val="5B3203DE"/>
    <w:rsid w:val="5C3F0723"/>
    <w:rsid w:val="5C86208C"/>
    <w:rsid w:val="5D1A51E2"/>
    <w:rsid w:val="60A35F5F"/>
    <w:rsid w:val="60A94DEF"/>
    <w:rsid w:val="642108EC"/>
    <w:rsid w:val="661E1587"/>
    <w:rsid w:val="6703077D"/>
    <w:rsid w:val="672F3320"/>
    <w:rsid w:val="67923409"/>
    <w:rsid w:val="68E11452"/>
    <w:rsid w:val="68EF31E5"/>
    <w:rsid w:val="692F70A8"/>
    <w:rsid w:val="6A184540"/>
    <w:rsid w:val="6AD828AA"/>
    <w:rsid w:val="6C430463"/>
    <w:rsid w:val="7491538B"/>
    <w:rsid w:val="75E749C9"/>
    <w:rsid w:val="766906C3"/>
    <w:rsid w:val="78267E28"/>
    <w:rsid w:val="79580ABF"/>
    <w:rsid w:val="79BF0551"/>
    <w:rsid w:val="79E96935"/>
    <w:rsid w:val="7AC126DF"/>
    <w:rsid w:val="7F480FCB"/>
    <w:rsid w:val="7FA473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nhideWhenUsed="0" w:uiPriority="99" w:semiHidden="0" w:name="heading 1"/>
    <w:lsdException w:uiPriority="99" w:name="heading 2"/>
    <w:lsdException w:uiPriority="99" w:name="heading 3"/>
    <w:lsdException w:uiPriority="99" w:name="heading 4"/>
    <w:lsdException w:uiPriority="99" w:name="heading 5"/>
    <w:lsdException w:uiPriority="99" w:name="heading 6"/>
    <w:lsdException w:uiPriority="99" w:name="heading 7"/>
    <w:lsdException w:uiPriority="99" w:name="heading 8"/>
    <w:lsdException w:uiPriority="9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99" w:name="toc 1"/>
    <w:lsdException w:uiPriority="99" w:name="toc 2"/>
    <w:lsdException w:uiPriority="99" w:name="toc 3"/>
    <w:lsdException w:uiPriority="99" w:name="toc 4"/>
    <w:lsdException w:uiPriority="99" w:name="toc 5"/>
    <w:lsdException w:uiPriority="99" w:name="toc 6"/>
    <w:lsdException w:uiPriority="99" w:name="toc 7"/>
    <w:lsdException w:uiPriority="99" w:name="toc 8"/>
    <w:lsdException w:uiPriority="99" w:name="toc 9"/>
    <w:lsdException w:uiPriority="99" w:name="Normal Indent"/>
    <w:lsdException w:uiPriority="99" w:name="footnote text"/>
    <w:lsdException w:uiPriority="99" w:name="annotation text"/>
    <w:lsdException w:qFormat="1" w:uiPriority="99" w:semiHidden="0" w:name="header"/>
    <w:lsdException w:qFormat="1" w:uiPriority="0" w:semiHidden="0" w:name="footer"/>
    <w:lsdException w:uiPriority="99" w:name="index heading"/>
    <w:lsdException w:uiPriority="99"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99"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99"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unhideWhenUsed="0" w:uiPriority="99" w:semiHidden="0" w:name="Emphasis"/>
    <w:lsdException w:uiPriority="99"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0" w:semiHidden="0"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link w:val="15"/>
    <w:semiHidden/>
    <w:unhideWhenUsed/>
    <w:qFormat/>
    <w:uiPriority w:val="99"/>
    <w:pPr>
      <w:spacing w:after="120"/>
      <w:ind w:left="420" w:leftChars="200"/>
    </w:pPr>
  </w:style>
  <w:style w:type="paragraph" w:styleId="3">
    <w:name w:val="Plain Text"/>
    <w:basedOn w:val="1"/>
    <w:link w:val="18"/>
    <w:qFormat/>
    <w:uiPriority w:val="0"/>
    <w:rPr>
      <w:rFonts w:ascii="宋体" w:hAnsi="Courier New" w:eastAsia="宋体" w:cs="宋体"/>
      <w:sz w:val="32"/>
      <w:szCs w:val="32"/>
    </w:rPr>
  </w:style>
  <w:style w:type="paragraph" w:styleId="4">
    <w:name w:val="Body Text Indent 2"/>
    <w:basedOn w:val="1"/>
    <w:link w:val="13"/>
    <w:unhideWhenUsed/>
    <w:qFormat/>
    <w:uiPriority w:val="99"/>
    <w:pPr>
      <w:spacing w:line="580" w:lineRule="exact"/>
      <w:ind w:firstLine="640" w:firstLineChars="200"/>
    </w:pPr>
    <w:rPr>
      <w:rFonts w:ascii="仿宋_GB2312" w:eastAsia="仿宋_GB2312"/>
      <w:sz w:val="32"/>
    </w:rPr>
  </w:style>
  <w:style w:type="paragraph" w:styleId="5">
    <w:name w:val="footer"/>
    <w:basedOn w:val="1"/>
    <w:link w:val="14"/>
    <w:unhideWhenUsed/>
    <w:qFormat/>
    <w:uiPriority w:val="0"/>
    <w:pPr>
      <w:tabs>
        <w:tab w:val="center" w:pos="4153"/>
        <w:tab w:val="right" w:pos="8306"/>
      </w:tabs>
      <w:snapToGrid w:val="0"/>
      <w:jc w:val="left"/>
    </w:pPr>
    <w:rPr>
      <w:sz w:val="18"/>
    </w:rPr>
  </w:style>
  <w:style w:type="paragraph" w:styleId="6">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0"/>
    <w:pPr>
      <w:jc w:val="left"/>
    </w:pPr>
    <w:rPr>
      <w:rFonts w:cs="Times New Roman"/>
      <w:kern w:val="0"/>
      <w:sz w:val="24"/>
    </w:rPr>
  </w:style>
  <w:style w:type="character" w:styleId="10">
    <w:name w:val="Strong"/>
    <w:basedOn w:val="9"/>
    <w:qFormat/>
    <w:uiPriority w:val="22"/>
    <w:rPr>
      <w:b/>
      <w:bCs/>
    </w:rPr>
  </w:style>
  <w:style w:type="character" w:styleId="11">
    <w:name w:val="HTML Typewriter"/>
    <w:basedOn w:val="9"/>
    <w:qFormat/>
    <w:uiPriority w:val="0"/>
    <w:rPr>
      <w:rFonts w:hint="default" w:ascii="monospace" w:hAnsi="monospace" w:eastAsia="monospace" w:cs="monospace"/>
      <w:sz w:val="20"/>
    </w:rPr>
  </w:style>
  <w:style w:type="character" w:styleId="12">
    <w:name w:val="HTML Cite"/>
    <w:basedOn w:val="9"/>
    <w:qFormat/>
    <w:uiPriority w:val="0"/>
  </w:style>
  <w:style w:type="character" w:customStyle="1" w:styleId="13">
    <w:name w:val="正文文本缩进 2 Char"/>
    <w:basedOn w:val="9"/>
    <w:link w:val="4"/>
    <w:qFormat/>
    <w:uiPriority w:val="99"/>
    <w:rPr>
      <w:rFonts w:ascii="仿宋_GB2312" w:eastAsia="仿宋_GB2312"/>
      <w:sz w:val="32"/>
    </w:rPr>
  </w:style>
  <w:style w:type="character" w:customStyle="1" w:styleId="14">
    <w:name w:val="页脚 Char"/>
    <w:basedOn w:val="9"/>
    <w:link w:val="5"/>
    <w:semiHidden/>
    <w:qFormat/>
    <w:uiPriority w:val="99"/>
    <w:rPr>
      <w:sz w:val="18"/>
    </w:rPr>
  </w:style>
  <w:style w:type="character" w:customStyle="1" w:styleId="15">
    <w:name w:val="正文文本缩进 Char"/>
    <w:basedOn w:val="9"/>
    <w:link w:val="2"/>
    <w:semiHidden/>
    <w:qFormat/>
    <w:uiPriority w:val="99"/>
  </w:style>
  <w:style w:type="paragraph" w:customStyle="1" w:styleId="16">
    <w:name w:val="样式1"/>
    <w:basedOn w:val="1"/>
    <w:qFormat/>
    <w:uiPriority w:val="0"/>
    <w:rPr>
      <w:rFonts w:ascii="Times New Roman" w:hAnsi="Times New Roman" w:eastAsia="仿宋_GB2312" w:cs="Times New Roman"/>
      <w:sz w:val="32"/>
      <w:szCs w:val="24"/>
    </w:rPr>
  </w:style>
  <w:style w:type="character" w:customStyle="1" w:styleId="17">
    <w:name w:val="页眉 Char"/>
    <w:basedOn w:val="9"/>
    <w:link w:val="6"/>
    <w:semiHidden/>
    <w:qFormat/>
    <w:uiPriority w:val="99"/>
    <w:rPr>
      <w:sz w:val="18"/>
      <w:szCs w:val="18"/>
    </w:rPr>
  </w:style>
  <w:style w:type="character" w:customStyle="1" w:styleId="18">
    <w:name w:val="纯文本 Char"/>
    <w:basedOn w:val="9"/>
    <w:link w:val="3"/>
    <w:qFormat/>
    <w:uiPriority w:val="0"/>
    <w:rPr>
      <w:rFonts w:ascii="宋体" w:hAnsi="Courier New" w:eastAsia="宋体" w:cs="宋体"/>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rotWithShape="1">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fillToRect l="50000" t="-80000" r="50000" b="180000"/>
          </a:path>
        </a:gradFill>
        <a:gradFill rotWithShape="1">
          <a:gsLst>
            <a:gs pos="0">
              <a:schemeClr val="phClr">
                <a:satMod val="300000"/>
                <a:tint val="80000"/>
              </a:schemeClr>
            </a:gs>
            <a:gs pos="100000">
              <a:schemeClr val="phClr">
                <a:satMod val="200000"/>
                <a:shade val="3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Pages>
  <Words>1116</Words>
  <Characters>1170</Characters>
  <Lines>47</Lines>
  <Paragraphs>13</Paragraphs>
  <TotalTime>1</TotalTime>
  <ScaleCrop>false</ScaleCrop>
  <LinksUpToDate>false</LinksUpToDate>
  <CharactersWithSpaces>1171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2020-03-24T03:18:00Z</dcterms:created>
  <dc:creator>Lenovo</dc:creator>
  <cp:lastModifiedBy>区公共资源交易中心</cp:lastModifiedBy>
  <cp:lastPrinted>2026-09-30T06:26:00Z</cp:lastPrinted>
  <dcterms:modified xsi:type="dcterms:W3CDTF">2026-09-30T06:41:12Z</dcterms:modified>
  <cp:revision>213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eyJoZGlkIjoiNzkxNWU0ZmEzNDM4ZGY5ODAxZGJkYjJjODk1OWU3MTgiLCJ1c2VySWQiOiI1NzcwODM3OTYifQ==</vt:lpwstr>
  </property>
  <property fmtid="{D5CDD505-2E9C-101B-9397-08002B2CF9AE}" pid="3" name="KSOProductBuildVer">
    <vt:lpwstr>2052-12.1.0.28505</vt:lpwstr>
  </property>
  <property fmtid="{D5CDD505-2E9C-101B-9397-08002B2CF9AE}" pid="4" name="ICV">
    <vt:lpwstr>DE9A2EE126AA466697018884DA6F4EAD_13</vt:lpwstr>
  </property>
</Properties>
</file>