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1100" w:firstLineChars="250"/>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pPr>
        <w:keepNext w:val="0"/>
        <w:keepLines w:val="0"/>
        <w:pageBreakBefore w:val="0"/>
        <w:widowControl w:val="0"/>
        <w:kinsoku/>
        <w:wordWrap/>
        <w:overflowPunct/>
        <w:topLinePunct w:val="0"/>
        <w:autoSpaceDE/>
        <w:autoSpaceDN/>
        <w:bidi w:val="0"/>
        <w:adjustRightInd/>
        <w:snapToGrid/>
        <w:spacing w:line="560" w:lineRule="exact"/>
        <w:jc w:val="center"/>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5</w:t>
      </w:r>
      <w:r>
        <w:rPr>
          <w:rFonts w:hint="eastAsia" w:ascii="仿宋" w:hAnsi="仿宋" w:eastAsia="仿宋"/>
          <w:sz w:val="32"/>
          <w:szCs w:val="32"/>
        </w:rPr>
        <w:t>〕</w:t>
      </w:r>
      <w:r>
        <w:rPr>
          <w:rFonts w:hint="eastAsia" w:ascii="仿宋" w:hAnsi="仿宋" w:eastAsia="仿宋"/>
          <w:sz w:val="32"/>
          <w:szCs w:val="32"/>
          <w:lang w:val="en-US" w:eastAsia="zh-CN"/>
        </w:rPr>
        <w:t>10</w:t>
      </w:r>
      <w:r>
        <w:rPr>
          <w:rFonts w:hint="eastAsia" w:ascii="仿宋" w:hAnsi="仿宋" w:eastAsia="仿宋"/>
          <w:sz w:val="32"/>
          <w:szCs w:val="32"/>
        </w:rPr>
        <w:t>号</w:t>
      </w:r>
    </w:p>
    <w:p>
      <w:pPr>
        <w:keepNext w:val="0"/>
        <w:keepLines w:val="0"/>
        <w:pageBreakBefore w:val="0"/>
        <w:widowControl w:val="0"/>
        <w:kinsoku/>
        <w:wordWrap/>
        <w:overflowPunct/>
        <w:topLinePunct w:val="0"/>
        <w:autoSpaceDE/>
        <w:autoSpaceDN/>
        <w:bidi w:val="0"/>
        <w:adjustRightInd/>
        <w:snapToGrid/>
        <w:spacing w:line="560" w:lineRule="exact"/>
        <w:jc w:val="center"/>
        <w:rPr>
          <w:rFonts w:ascii="仿宋_GB2312" w:hAnsi="Times New Roman" w:eastAsia="仿宋_GB2312" w:cs="Times New Roman"/>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15</w:t>
      </w:r>
      <w:r>
        <w:rPr>
          <w:rFonts w:hint="eastAsia" w:ascii="Times New Roman" w:hAnsi="Times New Roman" w:eastAsia="仿宋_GB2312" w:cs="Times New Roman"/>
          <w:sz w:val="32"/>
          <w:szCs w:val="32"/>
        </w:rPr>
        <w:t>宗国有建设用地使用权。</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pPr>
        <w:pStyle w:val="2"/>
        <w:keepNext w:val="0"/>
        <w:keepLines w:val="0"/>
        <w:pageBreakBefore w:val="0"/>
        <w:widowControl w:val="0"/>
        <w:kinsoku/>
        <w:wordWrap/>
        <w:overflowPunct/>
        <w:topLinePunct w:val="0"/>
        <w:autoSpaceDE/>
        <w:autoSpaceDN/>
        <w:bidi w:val="0"/>
        <w:adjustRightInd/>
        <w:snapToGrid/>
        <w:spacing w:line="560" w:lineRule="exact"/>
        <w:ind w:firstLine="320" w:firstLineChars="100"/>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314"/>
        <w:gridCol w:w="1110"/>
        <w:gridCol w:w="933"/>
        <w:gridCol w:w="605"/>
        <w:gridCol w:w="735"/>
        <w:gridCol w:w="778"/>
        <w:gridCol w:w="750"/>
        <w:gridCol w:w="714"/>
        <w:gridCol w:w="767"/>
      </w:tblGrid>
      <w:tr>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spacing w:val="-8"/>
                <w:sz w:val="18"/>
                <w:szCs w:val="18"/>
              </w:rPr>
            </w:pPr>
            <w:r>
              <w:rPr>
                <w:spacing w:val="-8"/>
                <w:sz w:val="18"/>
                <w:szCs w:val="18"/>
              </w:rPr>
              <w:t>地块</w:t>
            </w:r>
          </w:p>
          <w:p>
            <w:pPr>
              <w:spacing w:line="220" w:lineRule="exact"/>
              <w:jc w:val="center"/>
              <w:rPr>
                <w:rFonts w:hint="eastAsia"/>
              </w:rPr>
            </w:pPr>
            <w:r>
              <w:rPr>
                <w:spacing w:val="-8"/>
                <w:sz w:val="18"/>
                <w:szCs w:val="18"/>
              </w:rPr>
              <w:t>编号</w:t>
            </w:r>
          </w:p>
        </w:tc>
        <w:tc>
          <w:tcPr>
            <w:tcW w:w="13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spacing w:val="-8"/>
                <w:sz w:val="18"/>
                <w:szCs w:val="18"/>
              </w:rPr>
            </w:pPr>
            <w:r>
              <w:rPr>
                <w:spacing w:val="-8"/>
                <w:sz w:val="18"/>
                <w:szCs w:val="18"/>
              </w:rPr>
              <w:t>土地坐落</w:t>
            </w:r>
          </w:p>
        </w:tc>
        <w:tc>
          <w:tcPr>
            <w:tcW w:w="1110" w:type="dxa"/>
            <w:vMerge w:val="restart"/>
            <w:tcBorders>
              <w:top w:val="single" w:color="auto" w:sz="4" w:space="0"/>
              <w:left w:val="single" w:color="auto" w:sz="4" w:space="0"/>
              <w:right w:val="single" w:color="auto" w:sz="4" w:space="0"/>
            </w:tcBorders>
            <w:noWrap w:val="0"/>
            <w:vAlign w:val="center"/>
          </w:tcPr>
          <w:p>
            <w:pPr>
              <w:spacing w:line="220" w:lineRule="exact"/>
              <w:jc w:val="center"/>
              <w:rPr>
                <w:sz w:val="18"/>
                <w:szCs w:val="18"/>
              </w:rPr>
            </w:pPr>
            <w:r>
              <w:rPr>
                <w:sz w:val="18"/>
                <w:szCs w:val="18"/>
              </w:rPr>
              <w:t>出让面积(㎡)</w:t>
            </w:r>
          </w:p>
        </w:tc>
        <w:tc>
          <w:tcPr>
            <w:tcW w:w="933"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sz w:val="18"/>
                <w:szCs w:val="18"/>
              </w:rPr>
            </w:pPr>
            <w:r>
              <w:rPr>
                <w:sz w:val="18"/>
                <w:szCs w:val="18"/>
              </w:rPr>
              <w:t>土地</w:t>
            </w:r>
          </w:p>
          <w:p>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pPr>
              <w:spacing w:line="220" w:lineRule="exact"/>
              <w:jc w:val="center"/>
              <w:rPr>
                <w:sz w:val="18"/>
                <w:szCs w:val="18"/>
              </w:rPr>
            </w:pPr>
            <w:r>
              <w:rPr>
                <w:sz w:val="18"/>
                <w:szCs w:val="18"/>
              </w:rPr>
              <w:t>出让</w:t>
            </w:r>
          </w:p>
          <w:p>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sz w:val="18"/>
                <w:szCs w:val="18"/>
              </w:rPr>
            </w:pPr>
            <w:r>
              <w:rPr>
                <w:sz w:val="18"/>
                <w:szCs w:val="18"/>
              </w:rPr>
              <w:t>竞买</w:t>
            </w:r>
          </w:p>
          <w:p>
            <w:pPr>
              <w:spacing w:line="220" w:lineRule="exact"/>
              <w:jc w:val="center"/>
              <w:rPr>
                <w:sz w:val="18"/>
                <w:szCs w:val="18"/>
              </w:rPr>
            </w:pPr>
            <w:r>
              <w:rPr>
                <w:sz w:val="18"/>
                <w:szCs w:val="18"/>
              </w:rPr>
              <w:t>保证金</w:t>
            </w:r>
          </w:p>
          <w:p>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sz w:val="18"/>
                <w:szCs w:val="18"/>
              </w:rPr>
            </w:pPr>
            <w:r>
              <w:rPr>
                <w:sz w:val="18"/>
                <w:szCs w:val="18"/>
              </w:rPr>
              <w:t>挂牌</w:t>
            </w:r>
          </w:p>
          <w:p>
            <w:pPr>
              <w:spacing w:line="220" w:lineRule="exact"/>
              <w:jc w:val="center"/>
              <w:rPr>
                <w:sz w:val="18"/>
                <w:szCs w:val="18"/>
              </w:rPr>
            </w:pPr>
            <w:r>
              <w:rPr>
                <w:sz w:val="18"/>
                <w:szCs w:val="18"/>
              </w:rPr>
              <w:t>起始价</w:t>
            </w:r>
          </w:p>
          <w:p>
            <w:pPr>
              <w:spacing w:line="220" w:lineRule="exact"/>
              <w:jc w:val="center"/>
              <w:rPr>
                <w:sz w:val="18"/>
                <w:szCs w:val="18"/>
              </w:rPr>
            </w:pPr>
            <w:r>
              <w:rPr>
                <w:sz w:val="18"/>
                <w:szCs w:val="18"/>
              </w:rPr>
              <w:t>(万元)</w:t>
            </w:r>
          </w:p>
        </w:tc>
      </w:tr>
      <w:tr>
        <w:tblPrEx>
          <w:tblCellMar>
            <w:top w:w="0" w:type="dxa"/>
            <w:left w:w="0" w:type="dxa"/>
            <w:bottom w:w="0" w:type="dxa"/>
            <w:right w:w="0" w:type="dxa"/>
          </w:tblCellMar>
        </w:tblPrEx>
        <w:trPr>
          <w:cantSplit/>
          <w:trHeight w:val="59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220" w:lineRule="exact"/>
              <w:jc w:val="left"/>
              <w:rPr>
                <w:sz w:val="18"/>
                <w:szCs w:val="18"/>
              </w:rPr>
            </w:pPr>
          </w:p>
        </w:tc>
        <w:tc>
          <w:tcPr>
            <w:tcW w:w="1314" w:type="dxa"/>
            <w:vMerge w:val="continue"/>
            <w:tcBorders>
              <w:top w:val="single" w:color="auto" w:sz="4" w:space="0"/>
              <w:left w:val="nil"/>
              <w:bottom w:val="single" w:color="auto" w:sz="4" w:space="0"/>
              <w:right w:val="single" w:color="auto" w:sz="4" w:space="0"/>
            </w:tcBorders>
            <w:noWrap w:val="0"/>
            <w:vAlign w:val="center"/>
          </w:tcPr>
          <w:p>
            <w:pPr>
              <w:widowControl/>
              <w:spacing w:line="220" w:lineRule="exact"/>
              <w:jc w:val="left"/>
              <w:rPr>
                <w:sz w:val="18"/>
                <w:szCs w:val="18"/>
              </w:rPr>
            </w:pPr>
          </w:p>
        </w:tc>
        <w:tc>
          <w:tcPr>
            <w:tcW w:w="1110" w:type="dxa"/>
            <w:vMerge w:val="continue"/>
            <w:tcBorders>
              <w:left w:val="single" w:color="auto" w:sz="4" w:space="0"/>
              <w:bottom w:val="single" w:color="auto" w:sz="4" w:space="0"/>
              <w:right w:val="single" w:color="auto" w:sz="4" w:space="0"/>
            </w:tcBorders>
            <w:noWrap w:val="0"/>
            <w:vAlign w:val="center"/>
          </w:tcPr>
          <w:p>
            <w:pPr>
              <w:widowControl/>
              <w:spacing w:line="220" w:lineRule="exact"/>
              <w:jc w:val="center"/>
              <w:rPr>
                <w:sz w:val="18"/>
                <w:szCs w:val="18"/>
              </w:rPr>
            </w:pPr>
          </w:p>
        </w:tc>
        <w:tc>
          <w:tcPr>
            <w:tcW w:w="933"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220" w:lineRule="exact"/>
              <w:jc w:val="left"/>
              <w:rPr>
                <w:sz w:val="18"/>
                <w:szCs w:val="18"/>
              </w:rPr>
            </w:pPr>
          </w:p>
        </w:tc>
        <w:tc>
          <w:tcPr>
            <w:tcW w:w="60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sz w:val="18"/>
                <w:szCs w:val="18"/>
              </w:rPr>
            </w:pPr>
            <w:r>
              <w:rPr>
                <w:sz w:val="18"/>
                <w:szCs w:val="18"/>
              </w:rPr>
              <w:t>容积率</w:t>
            </w:r>
          </w:p>
        </w:tc>
        <w:tc>
          <w:tcPr>
            <w:tcW w:w="73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pPr>
              <w:spacing w:line="220" w:lineRule="exact"/>
              <w:ind w:firstLine="90" w:firstLineChars="50"/>
              <w:rPr>
                <w:sz w:val="18"/>
                <w:szCs w:val="18"/>
              </w:rPr>
            </w:pPr>
            <w:r>
              <w:rPr>
                <w:sz w:val="18"/>
                <w:szCs w:val="18"/>
              </w:rPr>
              <w:t>建筑</w:t>
            </w:r>
          </w:p>
          <w:p>
            <w:pPr>
              <w:spacing w:line="220" w:lineRule="exact"/>
              <w:jc w:val="center"/>
              <w:rPr>
                <w:sz w:val="18"/>
                <w:szCs w:val="18"/>
              </w:rPr>
            </w:pPr>
            <w:r>
              <w:rPr>
                <w:sz w:val="18"/>
                <w:szCs w:val="18"/>
              </w:rPr>
              <w:t>密度(%)</w:t>
            </w:r>
          </w:p>
        </w:tc>
        <w:tc>
          <w:tcPr>
            <w:tcW w:w="77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pPr>
              <w:widowControl/>
              <w:spacing w:line="220" w:lineRule="exact"/>
              <w:jc w:val="left"/>
              <w:rPr>
                <w:sz w:val="18"/>
                <w:szCs w:val="18"/>
              </w:rPr>
            </w:pPr>
          </w:p>
        </w:tc>
      </w:tr>
      <w:tr>
        <w:tblPrEx>
          <w:tblCellMar>
            <w:top w:w="0" w:type="dxa"/>
            <w:left w:w="0" w:type="dxa"/>
            <w:bottom w:w="0" w:type="dxa"/>
            <w:right w:w="0" w:type="dxa"/>
          </w:tblCellMar>
        </w:tblPrEx>
        <w:trPr>
          <w:cantSplit/>
          <w:trHeight w:val="732"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rPr>
              <w:t>HG2</w:t>
            </w:r>
            <w:r>
              <w:rPr>
                <w:rFonts w:hint="eastAsia"/>
                <w:spacing w:val="-8"/>
                <w:sz w:val="18"/>
                <w:szCs w:val="18"/>
                <w:lang w:val="en-US" w:eastAsia="zh-CN"/>
              </w:rPr>
              <w:t>5016</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eastAsia="zh-CN"/>
              </w:rPr>
              <w:t>钟山大道以南华盛北路以北</w:t>
            </w:r>
            <w:r>
              <w:rPr>
                <w:rFonts w:hint="eastAsia"/>
                <w:spacing w:val="-8"/>
                <w:sz w:val="18"/>
                <w:szCs w:val="18"/>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10000.34</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eastAsia="zh-CN"/>
              </w:rPr>
              <w:t>二类工业用地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val="en-US" w:eastAsia="zh-CN"/>
              </w:rPr>
            </w:pPr>
            <w:r>
              <w:rPr>
                <w:rFonts w:hint="eastAsia"/>
                <w:spacing w:val="-8"/>
                <w:sz w:val="18"/>
                <w:szCs w:val="18"/>
                <w:lang w:eastAsia="zh-CN"/>
              </w:rPr>
              <w:t>≥</w:t>
            </w:r>
            <w:r>
              <w:rPr>
                <w:rFonts w:hint="eastAsia"/>
                <w:spacing w:val="-8"/>
                <w:sz w:val="18"/>
                <w:szCs w:val="18"/>
                <w:lang w:val="en-US" w:eastAsia="zh-CN"/>
              </w:rPr>
              <w:t>1.0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val="en-US" w:eastAsia="zh-CN"/>
              </w:rPr>
            </w:pPr>
            <w:r>
              <w:rPr>
                <w:rFonts w:hint="eastAsia"/>
                <w:spacing w:val="-8"/>
                <w:sz w:val="18"/>
                <w:szCs w:val="18"/>
                <w:lang w:eastAsia="zh-CN"/>
              </w:rPr>
              <w:t>≥</w:t>
            </w:r>
            <w:r>
              <w:rPr>
                <w:rFonts w:hint="eastAsia"/>
                <w:spacing w:val="-8"/>
                <w:sz w:val="18"/>
                <w:szCs w:val="18"/>
                <w:lang w:val="en-US" w:eastAsia="zh-CN"/>
              </w:rPr>
              <w:t>40</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val="en-US" w:eastAsia="zh-CN"/>
              </w:rPr>
            </w:pPr>
            <w:r>
              <w:rPr>
                <w:rFonts w:hint="eastAsia"/>
                <w:spacing w:val="-8"/>
                <w:sz w:val="18"/>
                <w:szCs w:val="18"/>
                <w:lang w:eastAsia="zh-CN"/>
              </w:rPr>
              <w:t>≤</w:t>
            </w:r>
            <w:r>
              <w:rPr>
                <w:rFonts w:hint="eastAsia"/>
                <w:spacing w:val="-8"/>
                <w:sz w:val="18"/>
                <w:szCs w:val="18"/>
                <w:lang w:val="en-US" w:eastAsia="zh-CN"/>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eastAsia="zh-CN"/>
              </w:rPr>
              <w:t>工业</w:t>
            </w:r>
            <w:r>
              <w:rPr>
                <w:rFonts w:hint="eastAsia"/>
                <w:spacing w:val="-8"/>
                <w:sz w:val="18"/>
                <w:szCs w:val="18"/>
                <w:lang w:val="en-US" w:eastAsia="zh-CN"/>
              </w:rPr>
              <w:t>50</w:t>
            </w:r>
            <w:r>
              <w:rPr>
                <w:rFonts w:hint="eastAsia"/>
                <w:spacing w:val="-8"/>
                <w:sz w:val="18"/>
                <w:szCs w:val="18"/>
              </w:rPr>
              <w:t>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138</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275</w:t>
            </w:r>
          </w:p>
        </w:tc>
      </w:tr>
      <w:tr>
        <w:tblPrEx>
          <w:tblCellMar>
            <w:top w:w="0" w:type="dxa"/>
            <w:left w:w="0" w:type="dxa"/>
            <w:bottom w:w="0" w:type="dxa"/>
            <w:right w:w="0" w:type="dxa"/>
          </w:tblCellMar>
        </w:tblPrEx>
        <w:trPr>
          <w:cantSplit/>
          <w:trHeight w:val="767"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rPr>
            </w:pPr>
            <w:r>
              <w:rPr>
                <w:rFonts w:hint="eastAsia"/>
                <w:spacing w:val="-8"/>
                <w:sz w:val="18"/>
                <w:szCs w:val="18"/>
              </w:rPr>
              <w:t>HG2</w:t>
            </w:r>
            <w:r>
              <w:rPr>
                <w:rFonts w:hint="eastAsia"/>
                <w:spacing w:val="-8"/>
                <w:sz w:val="18"/>
                <w:szCs w:val="18"/>
                <w:lang w:val="en-US" w:eastAsia="zh-CN"/>
              </w:rPr>
              <w:t>5017</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钟山大道以南华盛北路以北纵三路以东地块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47391.4</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二类工业用地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rPr>
            </w:pPr>
            <w:r>
              <w:rPr>
                <w:rFonts w:hint="eastAsia"/>
                <w:spacing w:val="-8"/>
                <w:sz w:val="18"/>
                <w:szCs w:val="18"/>
                <w:lang w:eastAsia="zh-CN"/>
              </w:rPr>
              <w:t>≥</w:t>
            </w:r>
            <w:r>
              <w:rPr>
                <w:rFonts w:hint="eastAsia"/>
                <w:spacing w:val="-8"/>
                <w:sz w:val="18"/>
                <w:szCs w:val="18"/>
                <w:lang w:val="en-US" w:eastAsia="zh-CN"/>
              </w:rPr>
              <w:t>1.0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rPr>
            </w:pPr>
            <w:r>
              <w:rPr>
                <w:rFonts w:hint="eastAsia"/>
                <w:spacing w:val="-8"/>
                <w:sz w:val="18"/>
                <w:szCs w:val="18"/>
                <w:lang w:eastAsia="zh-CN"/>
              </w:rPr>
              <w:t>≥</w:t>
            </w:r>
            <w:r>
              <w:rPr>
                <w:rFonts w:hint="eastAsia"/>
                <w:spacing w:val="-8"/>
                <w:sz w:val="18"/>
                <w:szCs w:val="18"/>
                <w:lang w:val="en-US" w:eastAsia="zh-CN"/>
              </w:rPr>
              <w:t>40</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rPr>
            </w:pPr>
            <w:r>
              <w:rPr>
                <w:rFonts w:hint="eastAsia"/>
                <w:spacing w:val="-8"/>
                <w:sz w:val="18"/>
                <w:szCs w:val="18"/>
                <w:lang w:eastAsia="zh-CN"/>
              </w:rPr>
              <w:t>≤</w:t>
            </w:r>
            <w:r>
              <w:rPr>
                <w:rFonts w:hint="eastAsia"/>
                <w:spacing w:val="-8"/>
                <w:sz w:val="18"/>
                <w:szCs w:val="18"/>
                <w:lang w:val="en-US" w:eastAsia="zh-CN"/>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工业</w:t>
            </w:r>
            <w:r>
              <w:rPr>
                <w:rFonts w:hint="eastAsia"/>
                <w:spacing w:val="-8"/>
                <w:sz w:val="18"/>
                <w:szCs w:val="18"/>
                <w:lang w:val="en-US" w:eastAsia="zh-CN"/>
              </w:rPr>
              <w:t>50</w:t>
            </w:r>
            <w:r>
              <w:rPr>
                <w:rFonts w:hint="eastAsia"/>
                <w:spacing w:val="-8"/>
                <w:sz w:val="18"/>
                <w:szCs w:val="18"/>
              </w:rPr>
              <w:t>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650</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1300</w:t>
            </w:r>
          </w:p>
        </w:tc>
      </w:tr>
      <w:tr>
        <w:tblPrEx>
          <w:tblCellMar>
            <w:top w:w="0" w:type="dxa"/>
            <w:left w:w="0" w:type="dxa"/>
            <w:bottom w:w="0" w:type="dxa"/>
            <w:right w:w="0" w:type="dxa"/>
          </w:tblCellMar>
        </w:tblPrEx>
        <w:trPr>
          <w:cantSplit/>
          <w:trHeight w:val="975"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rPr>
            </w:pPr>
            <w:r>
              <w:rPr>
                <w:rFonts w:hint="eastAsia"/>
                <w:spacing w:val="-8"/>
                <w:sz w:val="18"/>
                <w:szCs w:val="18"/>
                <w:lang w:eastAsia="zh-CN"/>
              </w:rPr>
              <w:t>HG2</w:t>
            </w:r>
            <w:r>
              <w:rPr>
                <w:rFonts w:hint="eastAsia"/>
                <w:spacing w:val="-8"/>
                <w:sz w:val="18"/>
                <w:szCs w:val="18"/>
                <w:lang w:val="en-US" w:eastAsia="zh-CN"/>
              </w:rPr>
              <w:t>5018</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科创大道以北兴隆大道以西兴发路以南规三路以东</w:t>
            </w:r>
            <w:r>
              <w:rPr>
                <w:rFonts w:hint="eastAsia"/>
                <w:spacing w:val="-8"/>
                <w:sz w:val="18"/>
                <w:szCs w:val="18"/>
                <w:lang w:val="en-US" w:eastAsia="zh-CN"/>
              </w:rPr>
              <w:t>KJC-15</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48950.27</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公园绿地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rPr>
            </w:pPr>
            <w:r>
              <w:rPr>
                <w:rFonts w:hint="eastAsia"/>
                <w:spacing w:val="-8"/>
                <w:sz w:val="18"/>
                <w:szCs w:val="18"/>
              </w:rPr>
              <w:t>＜</w:t>
            </w:r>
            <w:r>
              <w:rPr>
                <w:rFonts w:hint="eastAsia"/>
                <w:spacing w:val="-8"/>
                <w:sz w:val="18"/>
                <w:szCs w:val="18"/>
                <w:lang w:val="en-US" w:eastAsia="zh-CN"/>
              </w:rPr>
              <w:t>0.05</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rPr>
            </w:pPr>
            <w:r>
              <w:rPr>
                <w:rFonts w:hint="eastAsia"/>
                <w:spacing w:val="-8"/>
                <w:sz w:val="18"/>
                <w:szCs w:val="18"/>
              </w:rPr>
              <w:t>≤</w:t>
            </w:r>
            <w:r>
              <w:rPr>
                <w:rFonts w:hint="eastAsia"/>
                <w:spacing w:val="-8"/>
                <w:sz w:val="18"/>
                <w:szCs w:val="18"/>
                <w:lang w:val="en-US" w:eastAsia="zh-CN"/>
              </w:rPr>
              <w:t>3</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rPr>
            </w:pPr>
            <w:r>
              <w:rPr>
                <w:rFonts w:hint="eastAsia"/>
                <w:spacing w:val="-8"/>
                <w:sz w:val="18"/>
                <w:szCs w:val="18"/>
              </w:rPr>
              <w:t>≥</w:t>
            </w:r>
            <w:r>
              <w:rPr>
                <w:rFonts w:hint="eastAsia"/>
                <w:spacing w:val="-8"/>
                <w:sz w:val="18"/>
                <w:szCs w:val="18"/>
                <w:lang w:val="en-US" w:eastAsia="zh-CN"/>
              </w:rPr>
              <w:t>65</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公服</w:t>
            </w:r>
            <w:r>
              <w:rPr>
                <w:rFonts w:hint="eastAsia"/>
                <w:spacing w:val="-8"/>
                <w:sz w:val="18"/>
                <w:szCs w:val="18"/>
                <w:lang w:val="en-US" w:eastAsia="zh-CN"/>
              </w:rPr>
              <w:t>5</w:t>
            </w:r>
            <w:r>
              <w:rPr>
                <w:rFonts w:hint="eastAsia"/>
                <w:spacing w:val="-8"/>
                <w:sz w:val="18"/>
                <w:szCs w:val="18"/>
                <w:lang w:eastAsia="zh-CN"/>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561</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2805</w:t>
            </w:r>
          </w:p>
        </w:tc>
      </w:tr>
      <w:tr>
        <w:tblPrEx>
          <w:tblCellMar>
            <w:top w:w="0" w:type="dxa"/>
            <w:left w:w="0" w:type="dxa"/>
            <w:bottom w:w="0" w:type="dxa"/>
            <w:right w:w="0" w:type="dxa"/>
          </w:tblCellMar>
        </w:tblPrEx>
        <w:trPr>
          <w:cantSplit/>
          <w:trHeight w:val="990"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rPr>
            </w:pPr>
            <w:r>
              <w:rPr>
                <w:rFonts w:hint="eastAsia"/>
                <w:spacing w:val="-8"/>
                <w:sz w:val="18"/>
                <w:szCs w:val="18"/>
                <w:lang w:eastAsia="zh-CN"/>
              </w:rPr>
              <w:t>HG2</w:t>
            </w:r>
            <w:r>
              <w:rPr>
                <w:rFonts w:hint="eastAsia"/>
                <w:spacing w:val="-8"/>
                <w:sz w:val="18"/>
                <w:szCs w:val="18"/>
                <w:lang w:val="en-US" w:eastAsia="zh-CN"/>
              </w:rPr>
              <w:t>5019</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科创大道以北兴隆大道以西兴发路以南规三路以东</w:t>
            </w:r>
            <w:r>
              <w:rPr>
                <w:rFonts w:hint="eastAsia"/>
                <w:spacing w:val="-8"/>
                <w:sz w:val="18"/>
                <w:szCs w:val="18"/>
                <w:lang w:val="en-US" w:eastAsia="zh-CN"/>
              </w:rPr>
              <w:t>KJC-16</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3677.05</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商业</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rPr>
            </w:pPr>
            <w:r>
              <w:rPr>
                <w:rFonts w:hint="eastAsia"/>
                <w:spacing w:val="-8"/>
                <w:sz w:val="18"/>
                <w:szCs w:val="18"/>
              </w:rPr>
              <w:t>＜</w:t>
            </w:r>
            <w:r>
              <w:rPr>
                <w:rFonts w:hint="eastAsia"/>
                <w:spacing w:val="-8"/>
                <w:sz w:val="18"/>
                <w:szCs w:val="18"/>
                <w:lang w:val="en-US" w:eastAsia="zh-CN"/>
              </w:rPr>
              <w:t>3.5</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rPr>
            </w:pPr>
            <w:r>
              <w:rPr>
                <w:rFonts w:hint="eastAsia"/>
                <w:spacing w:val="-8"/>
                <w:sz w:val="18"/>
                <w:szCs w:val="18"/>
              </w:rPr>
              <w:t>≤</w:t>
            </w:r>
            <w:r>
              <w:rPr>
                <w:rFonts w:hint="eastAsia"/>
                <w:spacing w:val="-8"/>
                <w:sz w:val="18"/>
                <w:szCs w:val="18"/>
                <w:lang w:val="en-US" w:eastAsia="zh-CN"/>
              </w:rPr>
              <w:t>45</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rPr>
            </w:pPr>
            <w:r>
              <w:rPr>
                <w:rFonts w:hint="eastAsia"/>
                <w:spacing w:val="-8"/>
                <w:sz w:val="18"/>
                <w:szCs w:val="18"/>
              </w:rPr>
              <w:t>≥</w:t>
            </w:r>
            <w:r>
              <w:rPr>
                <w:rFonts w:hint="eastAsia"/>
                <w:spacing w:val="-8"/>
                <w:sz w:val="18"/>
                <w:szCs w:val="18"/>
                <w:lang w:val="en-US" w:eastAsia="zh-CN"/>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商业</w:t>
            </w:r>
            <w:r>
              <w:rPr>
                <w:rFonts w:hint="eastAsia"/>
                <w:spacing w:val="-8"/>
                <w:sz w:val="18"/>
                <w:szCs w:val="18"/>
                <w:lang w:val="en-US" w:eastAsia="zh-CN"/>
              </w:rPr>
              <w:t>40年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209</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1042</w:t>
            </w:r>
          </w:p>
        </w:tc>
      </w:tr>
      <w:tr>
        <w:tblPrEx>
          <w:tblCellMar>
            <w:top w:w="0" w:type="dxa"/>
            <w:left w:w="0" w:type="dxa"/>
            <w:bottom w:w="0" w:type="dxa"/>
            <w:right w:w="0" w:type="dxa"/>
          </w:tblCellMar>
        </w:tblPrEx>
        <w:trPr>
          <w:cantSplit/>
          <w:trHeight w:val="870"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rPr>
            </w:pPr>
            <w:r>
              <w:rPr>
                <w:rFonts w:hint="eastAsia"/>
                <w:spacing w:val="-8"/>
                <w:sz w:val="18"/>
                <w:szCs w:val="18"/>
                <w:lang w:eastAsia="zh-CN"/>
              </w:rPr>
              <w:t>HG2</w:t>
            </w:r>
            <w:r>
              <w:rPr>
                <w:rFonts w:hint="eastAsia"/>
                <w:spacing w:val="-8"/>
                <w:sz w:val="18"/>
                <w:szCs w:val="18"/>
                <w:lang w:val="en-US" w:eastAsia="zh-CN"/>
              </w:rPr>
              <w:t>5020</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科创大道以北兴隆大道以西兴发路以南规三路以东</w:t>
            </w:r>
            <w:r>
              <w:rPr>
                <w:rFonts w:hint="eastAsia"/>
                <w:spacing w:val="-8"/>
                <w:sz w:val="18"/>
                <w:szCs w:val="18"/>
                <w:lang w:val="en-US" w:eastAsia="zh-CN"/>
              </w:rPr>
              <w:t>KJC-17</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9737.5</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商业</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rPr>
            </w:pPr>
            <w:r>
              <w:rPr>
                <w:rFonts w:hint="eastAsia"/>
                <w:spacing w:val="-8"/>
                <w:sz w:val="18"/>
                <w:szCs w:val="18"/>
              </w:rPr>
              <w:t>＜</w:t>
            </w:r>
            <w:r>
              <w:rPr>
                <w:rFonts w:hint="eastAsia"/>
                <w:spacing w:val="-8"/>
                <w:sz w:val="18"/>
                <w:szCs w:val="18"/>
                <w:lang w:val="en-US" w:eastAsia="zh-CN"/>
              </w:rPr>
              <w:t>3.5</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rPr>
            </w:pPr>
            <w:r>
              <w:rPr>
                <w:rFonts w:hint="eastAsia"/>
                <w:spacing w:val="-8"/>
                <w:sz w:val="18"/>
                <w:szCs w:val="18"/>
              </w:rPr>
              <w:t>≤</w:t>
            </w:r>
            <w:r>
              <w:rPr>
                <w:rFonts w:hint="eastAsia"/>
                <w:spacing w:val="-8"/>
                <w:sz w:val="18"/>
                <w:szCs w:val="18"/>
                <w:lang w:val="en-US" w:eastAsia="zh-CN"/>
              </w:rPr>
              <w:t>45</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rPr>
            </w:pPr>
            <w:r>
              <w:rPr>
                <w:rFonts w:hint="eastAsia"/>
                <w:spacing w:val="-8"/>
                <w:sz w:val="18"/>
                <w:szCs w:val="18"/>
              </w:rPr>
              <w:t>≥</w:t>
            </w:r>
            <w:r>
              <w:rPr>
                <w:rFonts w:hint="eastAsia"/>
                <w:spacing w:val="-8"/>
                <w:sz w:val="18"/>
                <w:szCs w:val="18"/>
                <w:lang w:val="en-US" w:eastAsia="zh-CN"/>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商业</w:t>
            </w:r>
            <w:r>
              <w:rPr>
                <w:rFonts w:hint="eastAsia"/>
                <w:spacing w:val="-8"/>
                <w:sz w:val="18"/>
                <w:szCs w:val="18"/>
                <w:lang w:val="en-US" w:eastAsia="zh-CN"/>
              </w:rPr>
              <w:t>40年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552</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2760</w:t>
            </w:r>
          </w:p>
        </w:tc>
      </w:tr>
      <w:tr>
        <w:tblPrEx>
          <w:tblCellMar>
            <w:top w:w="0" w:type="dxa"/>
            <w:left w:w="0" w:type="dxa"/>
            <w:bottom w:w="0" w:type="dxa"/>
            <w:right w:w="0" w:type="dxa"/>
          </w:tblCellMar>
        </w:tblPrEx>
        <w:trPr>
          <w:cantSplit/>
          <w:trHeight w:val="867"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HG2</w:t>
            </w:r>
            <w:r>
              <w:rPr>
                <w:rFonts w:hint="eastAsia"/>
                <w:spacing w:val="-8"/>
                <w:sz w:val="18"/>
                <w:szCs w:val="18"/>
                <w:lang w:val="en-US" w:eastAsia="zh-CN"/>
              </w:rPr>
              <w:t>5021</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科创大道以北兴隆大道以西兴发路以南规三路以东</w:t>
            </w:r>
            <w:r>
              <w:rPr>
                <w:rFonts w:hint="eastAsia"/>
                <w:spacing w:val="-8"/>
                <w:sz w:val="18"/>
                <w:szCs w:val="18"/>
                <w:lang w:val="en-US" w:eastAsia="zh-CN"/>
              </w:rPr>
              <w:t>KJC-18</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4536.72</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商业</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3.5</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45</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商业</w:t>
            </w:r>
            <w:r>
              <w:rPr>
                <w:rFonts w:hint="eastAsia"/>
                <w:spacing w:val="-8"/>
                <w:sz w:val="18"/>
                <w:szCs w:val="18"/>
                <w:lang w:val="en-US" w:eastAsia="zh-CN"/>
              </w:rPr>
              <w:t>40</w:t>
            </w:r>
            <w:r>
              <w:rPr>
                <w:rFonts w:hint="eastAsia"/>
                <w:spacing w:val="-8"/>
                <w:sz w:val="18"/>
                <w:szCs w:val="18"/>
                <w:lang w:eastAsia="zh-CN"/>
              </w:rPr>
              <w:t>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258</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1286</w:t>
            </w:r>
          </w:p>
        </w:tc>
      </w:tr>
      <w:tr>
        <w:tblPrEx>
          <w:tblCellMar>
            <w:top w:w="0" w:type="dxa"/>
            <w:left w:w="0" w:type="dxa"/>
            <w:bottom w:w="0" w:type="dxa"/>
            <w:right w:w="0" w:type="dxa"/>
          </w:tblCellMar>
        </w:tblPrEx>
        <w:trPr>
          <w:cantSplit/>
          <w:trHeight w:val="867"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HG2</w:t>
            </w:r>
            <w:r>
              <w:rPr>
                <w:rFonts w:hint="eastAsia"/>
                <w:spacing w:val="-8"/>
                <w:sz w:val="18"/>
                <w:szCs w:val="18"/>
                <w:lang w:val="en-US" w:eastAsia="zh-CN"/>
              </w:rPr>
              <w:t>5022</w:t>
            </w:r>
          </w:p>
        </w:tc>
        <w:tc>
          <w:tcPr>
            <w:tcW w:w="1314" w:type="dxa"/>
            <w:tcBorders>
              <w:top w:val="single" w:color="auto" w:sz="4" w:space="0"/>
              <w:left w:val="single" w:color="auto" w:sz="4" w:space="0"/>
              <w:bottom w:val="single" w:color="auto" w:sz="4" w:space="0"/>
              <w:right w:val="single" w:color="auto" w:sz="4" w:space="0"/>
            </w:tcBorders>
            <w:noWrap w:val="0"/>
            <w:vAlign w:val="bottom"/>
          </w:tcPr>
          <w:p>
            <w:pPr>
              <w:spacing w:line="220" w:lineRule="exact"/>
              <w:jc w:val="center"/>
              <w:rPr>
                <w:rFonts w:hint="eastAsia"/>
                <w:spacing w:val="-8"/>
                <w:sz w:val="18"/>
                <w:szCs w:val="18"/>
                <w:lang w:eastAsia="zh-CN"/>
              </w:rPr>
            </w:pPr>
            <w:r>
              <w:rPr>
                <w:rFonts w:hint="eastAsia"/>
                <w:spacing w:val="-8"/>
                <w:sz w:val="18"/>
                <w:szCs w:val="18"/>
                <w:lang w:val="en-US" w:eastAsia="zh-CN"/>
              </w:rPr>
              <w:t>A15路以东笔架山路以西王圣路A-01</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30310.69</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商务用地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35</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20</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商务</w:t>
            </w:r>
            <w:r>
              <w:rPr>
                <w:rFonts w:hint="eastAsia"/>
                <w:spacing w:val="-8"/>
                <w:sz w:val="18"/>
                <w:szCs w:val="18"/>
                <w:lang w:val="en-US" w:eastAsia="zh-CN"/>
              </w:rPr>
              <w:t>40</w:t>
            </w:r>
            <w:r>
              <w:rPr>
                <w:rFonts w:hint="eastAsia"/>
                <w:spacing w:val="-8"/>
                <w:sz w:val="18"/>
                <w:szCs w:val="18"/>
                <w:lang w:eastAsia="zh-CN"/>
              </w:rPr>
              <w:t>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1670</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8347</w:t>
            </w:r>
          </w:p>
        </w:tc>
      </w:tr>
      <w:tr>
        <w:tblPrEx>
          <w:tblCellMar>
            <w:top w:w="0" w:type="dxa"/>
            <w:left w:w="0" w:type="dxa"/>
            <w:bottom w:w="0" w:type="dxa"/>
            <w:right w:w="0" w:type="dxa"/>
          </w:tblCellMar>
        </w:tblPrEx>
        <w:trPr>
          <w:cantSplit/>
          <w:trHeight w:val="867"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HG2</w:t>
            </w:r>
            <w:r>
              <w:rPr>
                <w:rFonts w:hint="eastAsia"/>
                <w:spacing w:val="-8"/>
                <w:sz w:val="18"/>
                <w:szCs w:val="18"/>
                <w:lang w:val="en-US" w:eastAsia="zh-CN"/>
              </w:rPr>
              <w:t>5023</w:t>
            </w:r>
          </w:p>
        </w:tc>
        <w:tc>
          <w:tcPr>
            <w:tcW w:w="1314" w:type="dxa"/>
            <w:tcBorders>
              <w:top w:val="single" w:color="auto" w:sz="4" w:space="0"/>
              <w:left w:val="single" w:color="auto" w:sz="4" w:space="0"/>
              <w:bottom w:val="single" w:color="auto" w:sz="4" w:space="0"/>
              <w:right w:val="single" w:color="auto" w:sz="4" w:space="0"/>
            </w:tcBorders>
            <w:noWrap w:val="0"/>
            <w:vAlign w:val="bottom"/>
          </w:tcPr>
          <w:p>
            <w:pPr>
              <w:spacing w:line="220" w:lineRule="exact"/>
              <w:jc w:val="center"/>
              <w:rPr>
                <w:rFonts w:hint="eastAsia"/>
                <w:spacing w:val="-8"/>
                <w:sz w:val="18"/>
                <w:szCs w:val="18"/>
                <w:lang w:eastAsia="zh-CN"/>
              </w:rPr>
            </w:pPr>
            <w:r>
              <w:rPr>
                <w:rFonts w:hint="eastAsia"/>
                <w:spacing w:val="-8"/>
                <w:sz w:val="18"/>
                <w:szCs w:val="18"/>
                <w:lang w:val="en-US" w:eastAsia="zh-CN"/>
              </w:rPr>
              <w:t>A15路以东笔架山路以西王圣路A-02</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12425.37</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商务用地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35</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20</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商务</w:t>
            </w:r>
            <w:r>
              <w:rPr>
                <w:rFonts w:hint="eastAsia"/>
                <w:spacing w:val="-8"/>
                <w:sz w:val="18"/>
                <w:szCs w:val="18"/>
                <w:lang w:val="en-US" w:eastAsia="zh-CN"/>
              </w:rPr>
              <w:t>40</w:t>
            </w:r>
            <w:r>
              <w:rPr>
                <w:rFonts w:hint="eastAsia"/>
                <w:spacing w:val="-8"/>
                <w:sz w:val="18"/>
                <w:szCs w:val="18"/>
                <w:lang w:eastAsia="zh-CN"/>
              </w:rPr>
              <w:t>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 xml:space="preserve"> 685</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lang w:val="en-US" w:eastAsia="zh-CN"/>
              </w:rPr>
              <w:t>3422</w:t>
            </w:r>
          </w:p>
        </w:tc>
      </w:tr>
      <w:tr>
        <w:tblPrEx>
          <w:tblCellMar>
            <w:top w:w="0" w:type="dxa"/>
            <w:left w:w="0" w:type="dxa"/>
            <w:bottom w:w="0" w:type="dxa"/>
            <w:right w:w="0" w:type="dxa"/>
          </w:tblCellMar>
        </w:tblPrEx>
        <w:trPr>
          <w:cantSplit/>
          <w:trHeight w:val="867"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HG2</w:t>
            </w:r>
            <w:r>
              <w:rPr>
                <w:rFonts w:hint="eastAsia"/>
                <w:spacing w:val="-8"/>
                <w:sz w:val="18"/>
                <w:szCs w:val="18"/>
                <w:lang w:val="en-US" w:eastAsia="zh-CN"/>
              </w:rPr>
              <w:t>5024</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乌泥滩路以南圣明路以东黄金山环路以西</w:t>
            </w:r>
            <w:r>
              <w:rPr>
                <w:rFonts w:hint="eastAsia"/>
                <w:spacing w:val="-8"/>
                <w:sz w:val="18"/>
                <w:szCs w:val="18"/>
                <w:lang w:val="en-US" w:eastAsia="zh-CN"/>
              </w:rPr>
              <w:t>J070418</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33243.28（含区间路2612.3平方米和临路绿化带2683.34平方米）</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二类居住用地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28</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30</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val="en-US" w:eastAsia="zh-CN"/>
              </w:rPr>
              <w:t>居住7</w:t>
            </w:r>
            <w:r>
              <w:rPr>
                <w:rFonts w:hint="eastAsia"/>
                <w:spacing w:val="-8"/>
                <w:sz w:val="18"/>
                <w:szCs w:val="18"/>
                <w:lang w:eastAsia="zh-CN"/>
              </w:rPr>
              <w:t>0年</w:t>
            </w:r>
          </w:p>
          <w:p>
            <w:pPr>
              <w:spacing w:line="220" w:lineRule="exact"/>
              <w:jc w:val="center"/>
              <w:rPr>
                <w:rFonts w:hint="eastAsia"/>
                <w:spacing w:val="-8"/>
                <w:sz w:val="18"/>
                <w:szCs w:val="18"/>
                <w:lang w:eastAsia="zh-CN"/>
              </w:rPr>
            </w:pPr>
            <w:r>
              <w:rPr>
                <w:rFonts w:hint="eastAsia"/>
                <w:spacing w:val="-8"/>
                <w:sz w:val="18"/>
                <w:szCs w:val="18"/>
                <w:lang w:eastAsia="zh-CN"/>
              </w:rPr>
              <w:t>商业</w:t>
            </w:r>
            <w:r>
              <w:rPr>
                <w:rFonts w:hint="eastAsia"/>
                <w:spacing w:val="-8"/>
                <w:sz w:val="18"/>
                <w:szCs w:val="18"/>
                <w:lang w:val="en-US" w:eastAsia="zh-CN"/>
              </w:rPr>
              <w:t>40年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1846</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9230</w:t>
            </w:r>
          </w:p>
        </w:tc>
      </w:tr>
      <w:tr>
        <w:tblPrEx>
          <w:tblCellMar>
            <w:top w:w="0" w:type="dxa"/>
            <w:left w:w="0" w:type="dxa"/>
            <w:bottom w:w="0" w:type="dxa"/>
            <w:right w:w="0" w:type="dxa"/>
          </w:tblCellMar>
        </w:tblPrEx>
        <w:trPr>
          <w:cantSplit/>
          <w:trHeight w:val="867"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HG2</w:t>
            </w:r>
            <w:r>
              <w:rPr>
                <w:rFonts w:hint="eastAsia"/>
                <w:spacing w:val="-8"/>
                <w:sz w:val="18"/>
                <w:szCs w:val="18"/>
                <w:lang w:val="en-US" w:eastAsia="zh-CN"/>
              </w:rPr>
              <w:t>5025</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乌泥滩路以南圣明路以东黄金山环路以西</w:t>
            </w:r>
            <w:r>
              <w:rPr>
                <w:rFonts w:hint="eastAsia"/>
                <w:spacing w:val="-8"/>
                <w:sz w:val="18"/>
                <w:szCs w:val="18"/>
                <w:lang w:val="en-US" w:eastAsia="zh-CN"/>
              </w:rPr>
              <w:t>J070419</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32142.9（含区间路2692.09和临路绿化带2840.79）</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二类居住用地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28</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30</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val="en-US" w:eastAsia="zh-CN"/>
              </w:rPr>
              <w:t>居住7</w:t>
            </w:r>
            <w:r>
              <w:rPr>
                <w:rFonts w:hint="eastAsia"/>
                <w:spacing w:val="-8"/>
                <w:sz w:val="18"/>
                <w:szCs w:val="18"/>
                <w:lang w:eastAsia="zh-CN"/>
              </w:rPr>
              <w:t>0年</w:t>
            </w:r>
          </w:p>
          <w:p>
            <w:pPr>
              <w:spacing w:line="220" w:lineRule="exact"/>
              <w:jc w:val="center"/>
              <w:rPr>
                <w:rFonts w:hint="eastAsia"/>
                <w:spacing w:val="-8"/>
                <w:sz w:val="18"/>
                <w:szCs w:val="18"/>
                <w:lang w:eastAsia="zh-CN"/>
              </w:rPr>
            </w:pPr>
            <w:r>
              <w:rPr>
                <w:rFonts w:hint="eastAsia"/>
                <w:spacing w:val="-8"/>
                <w:sz w:val="18"/>
                <w:szCs w:val="18"/>
                <w:lang w:eastAsia="zh-CN"/>
              </w:rPr>
              <w:t>商业</w:t>
            </w:r>
            <w:r>
              <w:rPr>
                <w:rFonts w:hint="eastAsia"/>
                <w:spacing w:val="-8"/>
                <w:sz w:val="18"/>
                <w:szCs w:val="18"/>
                <w:lang w:val="en-US" w:eastAsia="zh-CN"/>
              </w:rPr>
              <w:t>40年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1785</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8924</w:t>
            </w:r>
          </w:p>
        </w:tc>
      </w:tr>
      <w:tr>
        <w:tblPrEx>
          <w:tblCellMar>
            <w:top w:w="0" w:type="dxa"/>
            <w:left w:w="0" w:type="dxa"/>
            <w:bottom w:w="0" w:type="dxa"/>
            <w:right w:w="0" w:type="dxa"/>
          </w:tblCellMar>
        </w:tblPrEx>
        <w:trPr>
          <w:cantSplit/>
          <w:trHeight w:val="867"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HG2</w:t>
            </w:r>
            <w:r>
              <w:rPr>
                <w:rFonts w:hint="eastAsia"/>
                <w:spacing w:val="-8"/>
                <w:sz w:val="18"/>
                <w:szCs w:val="18"/>
                <w:lang w:val="en-US" w:eastAsia="zh-CN"/>
              </w:rPr>
              <w:t>5026</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乌泥滩路以南圣明路以东黄金山环路以西</w:t>
            </w:r>
            <w:r>
              <w:rPr>
                <w:rFonts w:hint="eastAsia"/>
                <w:spacing w:val="-8"/>
                <w:sz w:val="18"/>
                <w:szCs w:val="18"/>
                <w:lang w:val="en-US" w:eastAsia="zh-CN"/>
              </w:rPr>
              <w:t>J070420</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35876.46（含区间路2868.89）</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二类居住用地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28</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30</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val="en-US" w:eastAsia="zh-CN"/>
              </w:rPr>
              <w:t>居住7</w:t>
            </w:r>
            <w:r>
              <w:rPr>
                <w:rFonts w:hint="eastAsia"/>
                <w:spacing w:val="-8"/>
                <w:sz w:val="18"/>
                <w:szCs w:val="18"/>
                <w:lang w:eastAsia="zh-CN"/>
              </w:rPr>
              <w:t>0年</w:t>
            </w:r>
          </w:p>
          <w:p>
            <w:pPr>
              <w:spacing w:line="220" w:lineRule="exact"/>
              <w:jc w:val="center"/>
              <w:rPr>
                <w:rFonts w:hint="eastAsia"/>
                <w:spacing w:val="-8"/>
                <w:sz w:val="18"/>
                <w:szCs w:val="18"/>
                <w:lang w:eastAsia="zh-CN"/>
              </w:rPr>
            </w:pPr>
            <w:r>
              <w:rPr>
                <w:rFonts w:hint="eastAsia"/>
                <w:spacing w:val="-8"/>
                <w:sz w:val="18"/>
                <w:szCs w:val="18"/>
                <w:lang w:eastAsia="zh-CN"/>
              </w:rPr>
              <w:t>商业</w:t>
            </w:r>
            <w:r>
              <w:rPr>
                <w:rFonts w:hint="eastAsia"/>
                <w:spacing w:val="-8"/>
                <w:sz w:val="18"/>
                <w:szCs w:val="18"/>
                <w:lang w:val="en-US" w:eastAsia="zh-CN"/>
              </w:rPr>
              <w:t>40年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1992</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9956</w:t>
            </w:r>
          </w:p>
        </w:tc>
      </w:tr>
      <w:tr>
        <w:tblPrEx>
          <w:tblCellMar>
            <w:top w:w="0" w:type="dxa"/>
            <w:left w:w="0" w:type="dxa"/>
            <w:bottom w:w="0" w:type="dxa"/>
            <w:right w:w="0" w:type="dxa"/>
          </w:tblCellMar>
        </w:tblPrEx>
        <w:trPr>
          <w:cantSplit/>
          <w:trHeight w:val="867"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HG2</w:t>
            </w:r>
            <w:r>
              <w:rPr>
                <w:rFonts w:hint="eastAsia"/>
                <w:spacing w:val="-8"/>
                <w:sz w:val="18"/>
                <w:szCs w:val="18"/>
                <w:lang w:val="en-US" w:eastAsia="zh-CN"/>
              </w:rPr>
              <w:t>5027</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乌泥滩路以南圣明路以东黄金山环路以西</w:t>
            </w:r>
            <w:r>
              <w:rPr>
                <w:rFonts w:hint="eastAsia"/>
                <w:spacing w:val="-8"/>
                <w:sz w:val="18"/>
                <w:szCs w:val="18"/>
                <w:lang w:val="en-US" w:eastAsia="zh-CN"/>
              </w:rPr>
              <w:t>J070421</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31218.54（含区间路2830.41）</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二类居住用地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28</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30</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val="en-US" w:eastAsia="zh-CN"/>
              </w:rPr>
              <w:t>居住7</w:t>
            </w:r>
            <w:r>
              <w:rPr>
                <w:rFonts w:hint="eastAsia"/>
                <w:spacing w:val="-8"/>
                <w:sz w:val="18"/>
                <w:szCs w:val="18"/>
                <w:lang w:eastAsia="zh-CN"/>
              </w:rPr>
              <w:t>0年</w:t>
            </w:r>
          </w:p>
          <w:p>
            <w:pPr>
              <w:spacing w:line="220" w:lineRule="exact"/>
              <w:jc w:val="center"/>
              <w:rPr>
                <w:rFonts w:hint="eastAsia"/>
                <w:spacing w:val="-8"/>
                <w:sz w:val="18"/>
                <w:szCs w:val="18"/>
                <w:lang w:eastAsia="zh-CN"/>
              </w:rPr>
            </w:pPr>
            <w:r>
              <w:rPr>
                <w:rFonts w:hint="eastAsia"/>
                <w:spacing w:val="-8"/>
                <w:sz w:val="18"/>
                <w:szCs w:val="18"/>
                <w:lang w:eastAsia="zh-CN"/>
              </w:rPr>
              <w:t>商业</w:t>
            </w:r>
            <w:r>
              <w:rPr>
                <w:rFonts w:hint="eastAsia"/>
                <w:spacing w:val="-8"/>
                <w:sz w:val="18"/>
                <w:szCs w:val="18"/>
                <w:lang w:val="en-US" w:eastAsia="zh-CN"/>
              </w:rPr>
              <w:t>40年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1733</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8664</w:t>
            </w:r>
          </w:p>
        </w:tc>
      </w:tr>
      <w:tr>
        <w:tblPrEx>
          <w:tblCellMar>
            <w:top w:w="0" w:type="dxa"/>
            <w:left w:w="0" w:type="dxa"/>
            <w:bottom w:w="0" w:type="dxa"/>
            <w:right w:w="0" w:type="dxa"/>
          </w:tblCellMar>
        </w:tblPrEx>
        <w:trPr>
          <w:cantSplit/>
          <w:trHeight w:val="867"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HG2</w:t>
            </w:r>
            <w:r>
              <w:rPr>
                <w:rFonts w:hint="eastAsia"/>
                <w:spacing w:val="-8"/>
                <w:sz w:val="18"/>
                <w:szCs w:val="18"/>
                <w:lang w:val="en-US" w:eastAsia="zh-CN"/>
              </w:rPr>
              <w:t>5028</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奥体大道以南黄金山环路以东乌泥滩路以北</w:t>
            </w:r>
            <w:r>
              <w:rPr>
                <w:rFonts w:hint="eastAsia"/>
                <w:spacing w:val="-8"/>
                <w:sz w:val="18"/>
                <w:szCs w:val="18"/>
                <w:lang w:val="en-US" w:eastAsia="zh-CN"/>
              </w:rPr>
              <w:t>J070423</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30349.2（含临路绿化带1115.92）</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商住用地（商业配建比</w:t>
            </w:r>
            <w:r>
              <w:rPr>
                <w:rFonts w:hint="eastAsia"/>
                <w:spacing w:val="-8"/>
                <w:sz w:val="18"/>
                <w:szCs w:val="18"/>
                <w:lang w:val="en-US" w:eastAsia="zh-CN"/>
              </w:rPr>
              <w:t>10%-15%）</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28</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30</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val="en-US" w:eastAsia="zh-CN"/>
              </w:rPr>
              <w:t>居住7</w:t>
            </w:r>
            <w:r>
              <w:rPr>
                <w:rFonts w:hint="eastAsia"/>
                <w:spacing w:val="-8"/>
                <w:sz w:val="18"/>
                <w:szCs w:val="18"/>
                <w:lang w:eastAsia="zh-CN"/>
              </w:rPr>
              <w:t>0年</w:t>
            </w:r>
          </w:p>
          <w:p>
            <w:pPr>
              <w:spacing w:line="220" w:lineRule="exact"/>
              <w:jc w:val="center"/>
              <w:rPr>
                <w:rFonts w:hint="eastAsia"/>
                <w:spacing w:val="-8"/>
                <w:sz w:val="18"/>
                <w:szCs w:val="18"/>
                <w:lang w:eastAsia="zh-CN"/>
              </w:rPr>
            </w:pPr>
            <w:r>
              <w:rPr>
                <w:rFonts w:hint="eastAsia"/>
                <w:spacing w:val="-8"/>
                <w:sz w:val="18"/>
                <w:szCs w:val="18"/>
                <w:lang w:eastAsia="zh-CN"/>
              </w:rPr>
              <w:t>商业</w:t>
            </w:r>
            <w:r>
              <w:rPr>
                <w:rFonts w:hint="eastAsia"/>
                <w:spacing w:val="-8"/>
                <w:sz w:val="18"/>
                <w:szCs w:val="18"/>
                <w:lang w:val="en-US" w:eastAsia="zh-CN"/>
              </w:rPr>
              <w:t>40年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1694</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8468</w:t>
            </w:r>
          </w:p>
        </w:tc>
      </w:tr>
      <w:tr>
        <w:tblPrEx>
          <w:tblCellMar>
            <w:top w:w="0" w:type="dxa"/>
            <w:left w:w="0" w:type="dxa"/>
            <w:bottom w:w="0" w:type="dxa"/>
            <w:right w:w="0" w:type="dxa"/>
          </w:tblCellMar>
        </w:tblPrEx>
        <w:trPr>
          <w:cantSplit/>
          <w:trHeight w:val="867"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HG2</w:t>
            </w:r>
            <w:r>
              <w:rPr>
                <w:rFonts w:hint="eastAsia"/>
                <w:spacing w:val="-8"/>
                <w:sz w:val="18"/>
                <w:szCs w:val="18"/>
                <w:lang w:val="en-US" w:eastAsia="zh-CN"/>
              </w:rPr>
              <w:t>5029</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奥体大道以南黄金山环路以东乌泥滩路以北</w:t>
            </w:r>
            <w:r>
              <w:rPr>
                <w:rFonts w:hint="eastAsia"/>
                <w:spacing w:val="-8"/>
                <w:sz w:val="18"/>
                <w:szCs w:val="18"/>
                <w:lang w:val="en-US" w:eastAsia="zh-CN"/>
              </w:rPr>
              <w:t>J070426</w:t>
            </w:r>
            <w:r>
              <w:rPr>
                <w:rFonts w:hint="eastAsia"/>
                <w:spacing w:val="-8"/>
                <w:sz w:val="18"/>
                <w:szCs w:val="18"/>
                <w:lang w:eastAsia="zh-CN"/>
              </w:rPr>
              <w:t>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56179.24</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二类居住用地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28</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30</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val="en-US" w:eastAsia="zh-CN"/>
              </w:rPr>
              <w:t>居住7</w:t>
            </w:r>
            <w:r>
              <w:rPr>
                <w:rFonts w:hint="eastAsia"/>
                <w:spacing w:val="-8"/>
                <w:sz w:val="18"/>
                <w:szCs w:val="18"/>
                <w:lang w:eastAsia="zh-CN"/>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3135</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15674</w:t>
            </w:r>
          </w:p>
        </w:tc>
      </w:tr>
      <w:tr>
        <w:tblPrEx>
          <w:tblCellMar>
            <w:top w:w="0" w:type="dxa"/>
            <w:left w:w="0" w:type="dxa"/>
            <w:bottom w:w="0" w:type="dxa"/>
            <w:right w:w="0" w:type="dxa"/>
          </w:tblCellMar>
        </w:tblPrEx>
        <w:trPr>
          <w:cantSplit/>
          <w:trHeight w:val="867"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HG2</w:t>
            </w:r>
            <w:r>
              <w:rPr>
                <w:rFonts w:hint="eastAsia"/>
                <w:spacing w:val="-8"/>
                <w:sz w:val="18"/>
                <w:szCs w:val="18"/>
                <w:lang w:val="en-US" w:eastAsia="zh-CN"/>
              </w:rPr>
              <w:t>5030</w:t>
            </w:r>
          </w:p>
        </w:tc>
        <w:tc>
          <w:tcPr>
            <w:tcW w:w="13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经一路以南纵一路以西金城路以东地块</w:t>
            </w:r>
          </w:p>
        </w:tc>
        <w:tc>
          <w:tcPr>
            <w:tcW w:w="111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13868.96</w:t>
            </w:r>
          </w:p>
        </w:tc>
        <w:tc>
          <w:tcPr>
            <w:tcW w:w="933"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eastAsia="zh-CN"/>
              </w:rPr>
              <w:t>二类居住用地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2.5</w:t>
            </w:r>
            <w:bookmarkStart w:id="0" w:name="_GoBack"/>
            <w:bookmarkEnd w:id="0"/>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28</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spacing w:line="220" w:lineRule="exact"/>
              <w:jc w:val="center"/>
              <w:rPr>
                <w:rFonts w:hint="eastAsia"/>
                <w:spacing w:val="-8"/>
                <w:sz w:val="18"/>
                <w:szCs w:val="18"/>
                <w:lang w:eastAsia="zh-CN"/>
              </w:rPr>
            </w:pPr>
            <w:r>
              <w:rPr>
                <w:rFonts w:hint="eastAsia"/>
                <w:spacing w:val="-8"/>
                <w:sz w:val="18"/>
                <w:szCs w:val="18"/>
                <w:lang w:eastAsia="zh-CN"/>
              </w:rPr>
              <w:t>≥</w:t>
            </w:r>
            <w:r>
              <w:rPr>
                <w:rFonts w:hint="eastAsia"/>
                <w:spacing w:val="-8"/>
                <w:sz w:val="18"/>
                <w:szCs w:val="18"/>
                <w:lang w:val="en-US" w:eastAsia="zh-CN"/>
              </w:rPr>
              <w:t>30</w:t>
            </w:r>
          </w:p>
        </w:tc>
        <w:tc>
          <w:tcPr>
            <w:tcW w:w="750"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eastAsia="zh-CN"/>
              </w:rPr>
            </w:pPr>
            <w:r>
              <w:rPr>
                <w:rFonts w:hint="eastAsia"/>
                <w:spacing w:val="-8"/>
                <w:sz w:val="18"/>
                <w:szCs w:val="18"/>
                <w:lang w:val="en-US" w:eastAsia="zh-CN"/>
              </w:rPr>
              <w:t>居住7</w:t>
            </w:r>
            <w:r>
              <w:rPr>
                <w:rFonts w:hint="eastAsia"/>
                <w:spacing w:val="-8"/>
                <w:sz w:val="18"/>
                <w:szCs w:val="18"/>
                <w:lang w:eastAsia="zh-CN"/>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769</w:t>
            </w:r>
          </w:p>
        </w:tc>
        <w:tc>
          <w:tcPr>
            <w:tcW w:w="767" w:type="dxa"/>
            <w:tcBorders>
              <w:top w:val="single" w:color="auto" w:sz="4" w:space="0"/>
              <w:left w:val="single" w:color="auto" w:sz="4" w:space="0"/>
              <w:bottom w:val="single" w:color="auto" w:sz="4" w:space="0"/>
              <w:right w:val="single" w:color="auto" w:sz="4" w:space="0"/>
            </w:tcBorders>
            <w:noWrap w:val="0"/>
            <w:vAlign w:val="center"/>
          </w:tcPr>
          <w:p>
            <w:pPr>
              <w:spacing w:line="220" w:lineRule="exact"/>
              <w:jc w:val="center"/>
              <w:rPr>
                <w:rFonts w:hint="eastAsia"/>
                <w:spacing w:val="-8"/>
                <w:sz w:val="18"/>
                <w:szCs w:val="18"/>
                <w:lang w:val="en-US" w:eastAsia="zh-CN"/>
              </w:rPr>
            </w:pPr>
            <w:r>
              <w:rPr>
                <w:rFonts w:hint="eastAsia"/>
                <w:spacing w:val="-8"/>
                <w:sz w:val="18"/>
                <w:szCs w:val="18"/>
                <w:lang w:val="en-US" w:eastAsia="zh-CN"/>
              </w:rPr>
              <w:t>3842</w:t>
            </w:r>
          </w:p>
        </w:tc>
      </w:tr>
    </w:tbl>
    <w:p>
      <w:pPr>
        <w:keepNext w:val="0"/>
        <w:keepLines w:val="0"/>
        <w:pageBreakBefore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（一）土地收购综合补偿约定：土地使用权及地面建(构)筑物的拆迁、补偿由黄石经济技术开发区管委会 铁山区政府负责。宗地涉及的契税、印花税由竞得人按规定缴纳。</w:t>
      </w:r>
    </w:p>
    <w:p>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（三）土地交付：由黄石经济技术开发区管委会·铁山区政府负责。</w:t>
      </w:r>
    </w:p>
    <w:p>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（四）HG25016、HG25017、HG25018、HG25019、HG25020、HG25021</w:t>
      </w:r>
      <w:r>
        <w:rPr>
          <w:rFonts w:hint="eastAsia" w:ascii="仿宋_GB2312" w:hAnsi="仿宋_GB2312" w:eastAsia="仿宋_GB2312" w:cs="仿宋_GB2312"/>
          <w:sz w:val="32"/>
          <w:szCs w:val="24"/>
          <w:lang w:eastAsia="zh-CN"/>
        </w:rPr>
        <w:t>、HG25022、HG25023、HG25024、HG25025、HG25026、HG25027、HG25028、HG25029、HG25030</w:t>
      </w:r>
      <w:r>
        <w:rPr>
          <w:rFonts w:hint="eastAsia" w:ascii="仿宋_GB2312" w:hAnsi="仿宋_GB2312" w:eastAsia="仿宋_GB2312" w:cs="仿宋_GB2312"/>
          <w:sz w:val="32"/>
          <w:szCs w:val="24"/>
        </w:rPr>
        <w:t>地块竞得人必须严格按照黄石市自然资源和规划局出具规划条件要求进行开发建设，HG25030号地块有保留建筑9034.98平方米，其中，区住保局来函委托将建筑面积为6640.82平方米，价值为1069.1719万元的建筑物一并出让，其他保留建筑及其他未纳入保留建构筑物由竞得人与金山街办协商解决,房屋质量与安全问题由竞得人负责</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HG25016、HG25017地块土地出让金自《国有土地使用权出让合同》签订之日起30天内缴清，HG25018、HG25019、HG25020、HG25021</w:t>
      </w:r>
      <w:r>
        <w:rPr>
          <w:rFonts w:hint="eastAsia" w:ascii="仿宋_GB2312" w:hAnsi="仿宋_GB2312" w:eastAsia="仿宋_GB2312" w:cs="仿宋_GB2312"/>
          <w:sz w:val="32"/>
          <w:szCs w:val="24"/>
          <w:lang w:eastAsia="zh-CN"/>
        </w:rPr>
        <w:t>、HG25022、HG25023、HG25024、HG25025、HG25026、HG25027、HG25028、HG25029、HG25030</w:t>
      </w:r>
      <w:r>
        <w:rPr>
          <w:rFonts w:hint="eastAsia" w:ascii="仿宋_GB2312" w:hAnsi="仿宋_GB2312" w:eastAsia="仿宋_GB2312" w:cs="仿宋_GB2312"/>
          <w:sz w:val="32"/>
          <w:szCs w:val="24"/>
        </w:rPr>
        <w:t>地块土地出让金自《国有土地使用权出让合同》签订之日起30天内缴清50%，另50%由合同签订之日起6个月内缴清。受让人宗地所涉及的契税、印花税没有纳入土地出让价款，由竞得者在土地出让合同签订之日起1个月内缴清。企业提供供地申请等相关资料，再按程序签订《国有建设用地使用权出让合同》，并在签订出让合同后10个工作日内建立“建设项目信息公示牌”，公示牌具体规格及公示内容由自然资源和规划部门另行告知。</w:t>
      </w:r>
    </w:p>
    <w:p>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（五）上述宗地以现状挂牌出让，实际勘测交付面积与挂牌出让文件标明的出让面积差异率在1%以内的，面积差异不影响成交价款。</w:t>
      </w:r>
    </w:p>
    <w:p>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（六）受让人在工程施工时要做好地质灾害防治工作，确保人民生命财产安全和工程建设的地质安全。</w:t>
      </w:r>
    </w:p>
    <w:p>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pPr>
        <w:pStyle w:val="7"/>
        <w:keepNext w:val="0"/>
        <w:keepLines w:val="0"/>
        <w:pageBreakBefore w:val="0"/>
        <w:widowControl/>
        <w:kinsoku/>
        <w:wordWrap/>
        <w:overflowPunct/>
        <w:autoSpaceDE/>
        <w:autoSpaceDN/>
        <w:bidi w:val="0"/>
        <w:adjustRightInd/>
        <w:spacing w:line="560" w:lineRule="exact"/>
        <w:ind w:firstLine="640"/>
        <w:jc w:val="both"/>
        <w:rPr>
          <w:rFonts w:hint="eastAsia" w:ascii="Times New Roman" w:hAnsi="Times New Roman" w:eastAsia="仿宋_GB2312"/>
          <w:kern w:val="2"/>
          <w:sz w:val="32"/>
          <w:szCs w:val="24"/>
        </w:rPr>
      </w:pPr>
      <w:r>
        <w:rPr>
          <w:rFonts w:hint="eastAsia" w:ascii="仿宋_GB2312" w:hAnsi="仿宋_GB2312" w:eastAsia="仿宋_GB2312" w:cs="仿宋_GB2312"/>
          <w:kern w:val="2"/>
          <w:sz w:val="32"/>
          <w:szCs w:val="24"/>
          <w:lang w:val="en-US" w:eastAsia="zh-CN" w:bidi="ar-SA"/>
        </w:rPr>
        <w:t>（一）中华人民共和国境内外的法人和其他组织，除法律法规另有规定外，均可申请参加，HG25024、HG25025、HG25026、HG25027、HG25028、HG25029、HG25030地块不接受个人参与竞买，包括以个人名义申请竞买，约定竞得后成立公司作为受让人进行开发建设的情形，HG25016、HG25017、HG25018、HG25019、HG25020、HG25021、HG25022、HG25023地块个人可参与竞买，申请人可以单独申请，也可以联合申请。买申请人在参与网上挂牌交易活动期间须在“信用中国”网站（http://www.creditchina.gov.cn）无失信记录，若存在失信记录参加竞买活动的，其竞买</w:t>
      </w:r>
      <w:r>
        <w:rPr>
          <w:rFonts w:hint="eastAsia" w:ascii="Times New Roman" w:hAnsi="Times New Roman" w:eastAsia="仿宋_GB2312" w:cs="Times New Roman"/>
          <w:kern w:val="2"/>
          <w:sz w:val="32"/>
          <w:szCs w:val="24"/>
          <w:lang w:val="en-US" w:eastAsia="zh-CN" w:bidi="ar-SA"/>
        </w:rPr>
        <w:t>申请为无效申请，竞买申请人自行承担相关法律后果</w:t>
      </w:r>
      <w:r>
        <w:rPr>
          <w:rFonts w:hint="eastAsia" w:ascii="Times New Roman" w:hAnsi="Times New Roman" w:eastAsia="仿宋_GB2312"/>
          <w:kern w:val="2"/>
          <w:sz w:val="32"/>
          <w:szCs w:val="24"/>
        </w:rPr>
        <w:t>。</w:t>
      </w:r>
    </w:p>
    <w:p>
      <w:pPr>
        <w:pStyle w:val="7"/>
        <w:keepNext w:val="0"/>
        <w:keepLines w:val="0"/>
        <w:pageBreakBefore w:val="0"/>
        <w:widowControl/>
        <w:kinsoku/>
        <w:wordWrap/>
        <w:overflowPunct/>
        <w:autoSpaceDE/>
        <w:autoSpaceDN/>
        <w:bidi w:val="0"/>
        <w:adjustRightInd/>
        <w:spacing w:line="560" w:lineRule="exact"/>
        <w:ind w:firstLine="640"/>
        <w:jc w:val="both"/>
        <w:rPr>
          <w:rFonts w:ascii="Times New Roman" w:hAnsi="Times New Roman" w:eastAsia="仿宋_GB2312" w:cs="Times New Roman"/>
          <w:kern w:val="2"/>
          <w:sz w:val="32"/>
          <w:szCs w:val="24"/>
          <w:lang w:val="en-US" w:eastAsia="zh-CN" w:bidi="ar-SA"/>
        </w:rPr>
      </w:pPr>
      <w:r>
        <w:rPr>
          <w:rFonts w:hint="eastAsia" w:ascii="Times New Roman" w:hAnsi="Times New Roman" w:eastAsia="仿宋_GB2312"/>
          <w:kern w:val="2"/>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ascii="Times New Roman" w:hAnsi="Times New Roman" w:eastAsia="仿宋_GB2312" w:cs="Times New Roman"/>
          <w:kern w:val="2"/>
          <w:sz w:val="32"/>
          <w:szCs w:val="24"/>
          <w:lang w:val="en-US" w:eastAsia="zh-CN" w:bidi="ar-SA"/>
        </w:rPr>
        <w:t>。</w:t>
      </w:r>
    </w:p>
    <w:p>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本次国有建设用地使用权挂牌出让只能在互联网上通过开发区·铁山区公共资源交易中心国有土地网上交易系统进行。只有办理数字证书、通过网上注册、足额交纳竞买保证金的申请人，才能参加网上挂牌出让活动。</w:t>
      </w:r>
    </w:p>
    <w:p>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只接受网上报名、网上竞买申请及报价。竞买人的网上竞买报价一经系统确认，不能修改或撤回。</w:t>
      </w:r>
    </w:p>
    <w:p>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不接受电话、邮寄、书面、口头等其他方式的竞买申请和报价。</w:t>
      </w:r>
    </w:p>
    <w:p>
      <w:pPr>
        <w:keepNext w:val="0"/>
        <w:keepLines w:val="0"/>
        <w:pageBreakBefore w:val="0"/>
        <w:kinsoku/>
        <w:wordWrap/>
        <w:overflowPunct/>
        <w:autoSpaceDE/>
        <w:autoSpaceDN/>
        <w:bidi w:val="0"/>
        <w:adjustRightInd/>
        <w:spacing w:line="560" w:lineRule="exact"/>
        <w:ind w:firstLine="576" w:firstLineChars="180"/>
        <w:rPr>
          <w:rFonts w:ascii="Times New Roman" w:hAnsi="Times New Roman" w:eastAsia="仿宋_GB2312" w:cs="Times New Roman"/>
          <w:sz w:val="32"/>
          <w:szCs w:val="24"/>
        </w:rPr>
      </w:pPr>
      <w:r>
        <w:rPr>
          <w:rFonts w:hint="eastAsia" w:ascii="仿宋_GB2312" w:hAnsi="仿宋_GB2312" w:eastAsia="仿宋_GB2312" w:cs="仿宋_GB2312"/>
          <w:kern w:val="2"/>
          <w:sz w:val="32"/>
          <w:szCs w:val="22"/>
          <w:lang w:val="en-US" w:eastAsia="zh-CN" w:bidi="ar-SA"/>
        </w:rPr>
        <w:t>交纳竞买保证金的截止时间为2025年12月15日16时（收款单位：黄石经济技术开发区·铁山区公共资源交易中心；开户行：中国银行股份有限公司黄石分行；</w:t>
      </w:r>
      <w:r>
        <w:rPr>
          <w:rFonts w:hint="eastAsia" w:ascii="Times New Roman" w:hAnsi="Times New Roman" w:eastAsia="仿宋_GB2312" w:cs="Times New Roman"/>
          <w:sz w:val="32"/>
          <w:szCs w:val="24"/>
        </w:rPr>
        <w:t>账号：随机自动生成账号），竞买人必须全部接受网上挂牌出让条件和挂牌文件，并按规定交纳竞买保证金后，方可参与竞买。</w:t>
      </w:r>
    </w:p>
    <w:p>
      <w:pPr>
        <w:keepNext w:val="0"/>
        <w:keepLines w:val="0"/>
        <w:pageBreakBefore w:val="0"/>
        <w:kinsoku/>
        <w:wordWrap/>
        <w:overflowPunct/>
        <w:topLinePunct/>
        <w:autoSpaceDE/>
        <w:autoSpaceDN/>
        <w:bidi w:val="0"/>
        <w:adjustRightInd/>
        <w:snapToGrid w:val="0"/>
        <w:spacing w:line="560" w:lineRule="exact"/>
        <w:ind w:firstLine="640" w:firstLineChars="200"/>
        <w:rPr>
          <w:rFonts w:ascii="Times New Roman" w:hAnsi="Times New Roman" w:eastAsia="仿宋_GB2312" w:cs="Times New Roman"/>
          <w:sz w:val="32"/>
          <w:szCs w:val="24"/>
        </w:rPr>
      </w:pPr>
      <w:r>
        <w:rPr>
          <w:rFonts w:hint="eastAsia" w:ascii="仿宋_GB2312" w:hAnsi="仿宋_GB2312" w:eastAsia="仿宋_GB2312" w:cs="仿宋_GB2312"/>
          <w:kern w:val="2"/>
          <w:sz w:val="32"/>
          <w:szCs w:val="22"/>
          <w:lang w:val="en-US" w:eastAsia="zh-CN" w:bidi="ar-SA"/>
        </w:rPr>
        <w:t>竞买人保证金必须从单位账户汇出，在网上交易系统点击“申购”,通过交易系统在2025年12月15日16时</w:t>
      </w:r>
      <w:r>
        <w:rPr>
          <w:rFonts w:hint="eastAsia" w:ascii="Times New Roman" w:hAnsi="Times New Roman" w:eastAsia="仿宋_GB2312" w:cs="Times New Roman"/>
          <w:sz w:val="32"/>
          <w:szCs w:val="24"/>
        </w:rPr>
        <w:t>前,</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七、竞买申请</w:t>
      </w:r>
    </w:p>
    <w:p>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（四）挂牌出让宗地规划条件控制文本及规划图；</w:t>
      </w:r>
    </w:p>
    <w:p>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（六）出让地块审批图；</w:t>
      </w:r>
    </w:p>
    <w:p>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pPr>
        <w:keepNext w:val="0"/>
        <w:keepLines w:val="0"/>
        <w:pageBreakBefore w:val="0"/>
        <w:kinsoku/>
        <w:wordWrap/>
        <w:overflowPunct/>
        <w:autoSpaceDE/>
        <w:autoSpaceDN/>
        <w:bidi w:val="0"/>
        <w:adjustRightInd/>
        <w:spacing w:line="560" w:lineRule="exact"/>
        <w:ind w:firstLine="736" w:firstLineChars="23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pPr>
        <w:keepNext w:val="0"/>
        <w:keepLines w:val="0"/>
        <w:pageBreakBefore w:val="0"/>
        <w:kinsoku/>
        <w:wordWrap/>
        <w:overflowPunct/>
        <w:autoSpaceDE/>
        <w:autoSpaceDN/>
        <w:bidi w:val="0"/>
        <w:adjustRightInd/>
        <w:spacing w:line="560" w:lineRule="exact"/>
        <w:ind w:firstLine="736" w:firstLineChars="23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pPr>
        <w:keepNext w:val="0"/>
        <w:keepLines w:val="0"/>
        <w:pageBreakBefore w:val="0"/>
        <w:kinsoku/>
        <w:wordWrap/>
        <w:overflowPunct/>
        <w:autoSpaceDE/>
        <w:autoSpaceDN/>
        <w:bidi w:val="0"/>
        <w:adjustRightInd/>
        <w:spacing w:line="560" w:lineRule="exact"/>
        <w:ind w:firstLine="576" w:firstLineChars="18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pPr>
        <w:keepNext w:val="0"/>
        <w:keepLines w:val="0"/>
        <w:pageBreakBefore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pPr>
        <w:keepNext w:val="0"/>
        <w:keepLines w:val="0"/>
        <w:pageBreakBefore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pPr>
        <w:keepNext w:val="0"/>
        <w:keepLines w:val="0"/>
        <w:pageBreakBefore w:val="0"/>
        <w:widowControl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pPr>
        <w:keepNext w:val="0"/>
        <w:keepLines w:val="0"/>
        <w:pageBreakBefore w:val="0"/>
        <w:widowControl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 (咨询电话：6393488)。也可向黄石市自然资源和规划局开发区·铁山区分局及开发区·铁山区公共资源交易中心申请组织现场踏勘。</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十、本次挂牌出让活动有关时间具体如下：</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1、挂牌起始时间：2025年12月7日上午10时；</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2、挂牌截止时间：2025年12月17日上午10时。</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（一）在中国土地市场网、黄石市公共资源交易网、市自然资源和规划局、黄石日报等网站和媒体发布网上挂牌出让公告、出让宗地相关信息；</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（二）在挂牌期内，有意竞买者通过注册申请并缴纳竞买保证金至指定账户后，取得竞买资格；</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（三）竞买人在挂牌期内参与竞买，报价经系统确认无误后即显示为当前报价；</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（四）网上交易系统根据挂牌截止时的最高报价且不低于底价的自动确定竞得人，竞得人可以下载系统生成的《成交确认书》及相关文件。</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（五）出让结果公布</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pPr>
        <w:pStyle w:val="4"/>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cs="Times New Roman"/>
          <w:szCs w:val="24"/>
        </w:rPr>
      </w:pPr>
      <w:r>
        <w:rPr>
          <w:rFonts w:hint="eastAsia" w:ascii="Times New Roman" w:hAnsi="Times New Roman" w:cs="Times New Roman"/>
          <w:szCs w:val="24"/>
        </w:rPr>
        <w:t>（一）</w:t>
      </w:r>
      <w:r>
        <w:rPr>
          <w:rFonts w:ascii="Times New Roman" w:hAnsi="Times New Roman" w:cs="Times New Roman"/>
          <w:szCs w:val="24"/>
        </w:rPr>
        <w:t>宗地的竞买保证金为：</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HG25016号地块为人民币大写壹佰叁拾捌万元整（￥：1380000元）；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HG25017号地块为人民币大写陆佰伍拾万元整（￥：6500000元）；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HG25018号地块为人民币大写伍佰陆拾壹万元整（￥：5610000元）；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HG25019号地块为人民币大写贰佰零玖万元整（￥：2090000元）；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HG25020号地块为人民币大写伍佰伍拾贰万元整（￥：5520000元）；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HG25021号地块为人民币大写贰佰伍拾捌万元整（￥：2580000元）；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HG25022号地块为人民币大写壹仟陆佰柒拾万元整（￥：16700000元）；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HG25023号地块为人民币大写陆佰捌拾伍万元整（￥：6850000元）；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HG25024号地块为人民币大写壹仟捌佰肆拾陆万元整（￥：18460000元）；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HG25025号地块为人民币大写壹仟柒佰捌拾伍万元整（￥：17850000元）；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HG25026号地块为人民币大写壹仟玖佰玖拾贰万元整（￥：19920000元）；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HG25027号地块为人民币大写壹仟柒佰叁拾叁万元整（￥：17330000元）；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HG25028号地块为人民币大写壹仟陆佰玖拾肆万元整（￥：16940000元）；</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HG25029号地块为人民币大写叁仟壹佰叁拾伍万元整（￥：31350000元）；</w:t>
      </w:r>
    </w:p>
    <w:p>
      <w:pPr>
        <w:pStyle w:val="4"/>
        <w:keepNext w:val="0"/>
        <w:keepLines w:val="0"/>
        <w:pageBreakBefore w:val="0"/>
        <w:widowControl w:val="0"/>
        <w:kinsoku/>
        <w:wordWrap/>
        <w:overflowPunct/>
        <w:autoSpaceDE/>
        <w:autoSpaceDN/>
        <w:bidi w:val="0"/>
        <w:adjustRightInd/>
        <w:spacing w:line="560" w:lineRule="exact"/>
        <w:rPr>
          <w:rFonts w:hint="eastAsia" w:ascii="Times New Roman" w:hAnsi="Times New Roman" w:cs="Times New Roman"/>
          <w:szCs w:val="24"/>
          <w:lang w:eastAsia="zh-CN"/>
        </w:rPr>
      </w:pPr>
      <w:r>
        <w:rPr>
          <w:rFonts w:hint="eastAsia" w:ascii="仿宋_GB2312" w:hAnsi="仿宋_GB2312" w:eastAsia="仿宋_GB2312" w:cs="仿宋_GB2312"/>
          <w:kern w:val="2"/>
          <w:sz w:val="32"/>
          <w:szCs w:val="22"/>
          <w:lang w:val="en-US" w:eastAsia="zh-CN" w:bidi="ar-SA"/>
        </w:rPr>
        <w:t>HG25030号地块为人民币大写柒佰陆拾玖万元整（￥：7690000元）；</w:t>
      </w:r>
    </w:p>
    <w:p>
      <w:pPr>
        <w:pStyle w:val="4"/>
        <w:keepNext w:val="0"/>
        <w:keepLines w:val="0"/>
        <w:pageBreakBefore w:val="0"/>
        <w:widowControl w:val="0"/>
        <w:kinsoku/>
        <w:wordWrap/>
        <w:overflowPunct/>
        <w:autoSpaceDE/>
        <w:autoSpaceDN/>
        <w:bidi w:val="0"/>
        <w:adjustRightInd/>
        <w:spacing w:line="560" w:lineRule="exact"/>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rPr>
        <w:t>二</w:t>
      </w:r>
      <w:r>
        <w:rPr>
          <w:rFonts w:hint="eastAsia" w:ascii="Times New Roman" w:hAnsi="Times New Roman" w:cs="Times New Roman"/>
          <w:szCs w:val="24"/>
          <w:lang w:eastAsia="zh-CN"/>
        </w:rPr>
        <w:t>）</w:t>
      </w:r>
      <w:r>
        <w:rPr>
          <w:rFonts w:hint="eastAsia" w:ascii="Times New Roman" w:hAnsi="Times New Roman" w:cs="Times New Roman"/>
          <w:szCs w:val="24"/>
        </w:rPr>
        <w:t xml:space="preserve">宗地的出让起始价、增价幅度 </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HG25016号地块：出让起始价为人民币大写贰佰柒拾伍万元整（￥：2750000元整）；</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HG25017号地块：出让起始价为人民币大写壹仟叁佰万元整（￥：13000000元整）；</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HG25018号地块：出让起始价为人民币大写贰仟捌佰零伍万元整（￥：28050000元整）；</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HG25019号地块：出让起始价为人民币大写壹仟零肆拾贰万元整（￥：10420000元整）；</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HG25020号地块：出让起始价为人民币大写贰仟柒佰陆拾万元整（￥：27600000元整）；</w:t>
      </w:r>
    </w:p>
    <w:p>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HG25021号地块：出让起始价为人民币大写壹仟贰佰捌拾陆万元整（￥：12860000元整）；</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HG25022号地块：出让起始价为人民币大写捌仟叁佰肆拾柒万元整（￥：83470000元整）；</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HG25023号地块：出让起始价为人民币大写叁仟肆佰贰拾贰万元整（￥：34220000元整）；</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HG25024号地块：出让起始价为人民币大写玖仟贰佰叁拾万元整（￥：92300000元整）；</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HG25025号地块：出让起始价为人民币大写捌仟玖佰贰拾肆万元整（￥：89240000元整）；</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HG25026号地块：出让起始价为人民币大写玖仟玖佰伍拾陆万元整（￥：99560000元整）；</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HG25027号地块：出让起始价为人民币大写捌仟陆佰陆拾肆万元整（￥：86640000元整）；</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HG25028号地块：出让起始价为人民币大写捌仟肆佰陆拾捌万元整（￥：84680000元整）；</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HG25029号地块：出让起始价为人民币大写壹亿伍仟陆佰柒拾肆万元整（￥：156740000元整）；</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HG25030号地块：出让起始价为人民币大写叁仟捌佰肆拾贰万元整（￥：38420000元整）；</w:t>
      </w:r>
    </w:p>
    <w:p>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增价幅度均为人民币大写壹拾万元或壹拾万元的整倍数。</w:t>
      </w:r>
    </w:p>
    <w:p>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三</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初次报价不得低于起始价，初次报价后的每次报价应当比当前最高报价递增一个加价幅度，加价幅度不得小于本须知规定的增价幅度。</w:t>
      </w:r>
    </w:p>
    <w:p>
      <w:pPr>
        <w:keepNext w:val="0"/>
        <w:keepLines w:val="0"/>
        <w:pageBreakBefore w:val="0"/>
        <w:widowControl w:val="0"/>
        <w:kinsoku/>
        <w:wordWrap/>
        <w:overflowPunct/>
        <w:autoSpaceDE/>
        <w:autoSpaceDN/>
        <w:bidi w:val="0"/>
        <w:adjustRightInd/>
        <w:spacing w:line="560" w:lineRule="exact"/>
        <w:ind w:firstLine="480" w:firstLineChars="15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 xml:space="preserve"> </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四</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在报价期间，竞买人可多次报价。</w:t>
      </w:r>
    </w:p>
    <w:p>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五</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竞买人通过系统提交的报价一经报出，不得撤回。</w:t>
      </w:r>
    </w:p>
    <w:p>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六</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竞买人报价有下列情形之一的，为无效报价：</w:t>
      </w:r>
    </w:p>
    <w:p>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1、报价因竞买人网络故障未在挂牌报价期限内报价的；</w:t>
      </w:r>
    </w:p>
    <w:p>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2、报价不符合报价规则的；</w:t>
      </w:r>
    </w:p>
    <w:p>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3、报价与竞买文件不符的；</w:t>
      </w:r>
    </w:p>
    <w:p>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4、报价不符合挂牌文件规定的其他情形的。</w:t>
      </w:r>
    </w:p>
    <w:p>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十三、注意事项</w:t>
      </w:r>
    </w:p>
    <w:p>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（一）申请人须全面阅读有关出让文件，如有疑问可以在出让活动开始日以前用书面或口头方式向</w:t>
      </w:r>
      <w:r>
        <w:rPr>
          <w:rFonts w:hint="eastAsia" w:ascii="Times New Roman" w:hAnsi="Times New Roman" w:eastAsia="仿宋_GB2312" w:cs="Times New Roman"/>
          <w:sz w:val="32"/>
          <w:szCs w:val="24"/>
        </w:rPr>
        <w:t>黄石市自然资源和规划局开发区</w:t>
      </w:r>
      <w:r>
        <w:rPr>
          <w:rFonts w:hint="eastAsia" w:ascii="Times New Roman" w:hAnsi="Times New Roman" w:eastAsia="仿宋_GB2312" w:cs="Times New Roman"/>
          <w:sz w:val="32"/>
          <w:szCs w:val="24"/>
          <w:lang w:val="en-US" w:eastAsia="zh-CN"/>
        </w:rPr>
        <w:t>·</w:t>
      </w:r>
      <w:r>
        <w:rPr>
          <w:rFonts w:hint="eastAsia" w:ascii="Times New Roman" w:hAnsi="Times New Roman" w:eastAsia="仿宋_GB2312" w:cs="Times New Roman"/>
          <w:sz w:val="32"/>
          <w:szCs w:val="24"/>
        </w:rPr>
        <w:t>铁山区分局</w:t>
      </w:r>
      <w:r>
        <w:rPr>
          <w:rFonts w:ascii="Times New Roman" w:hAnsi="Times New Roman" w:eastAsia="仿宋_GB2312" w:cs="Times New Roman"/>
          <w:sz w:val="32"/>
          <w:szCs w:val="24"/>
        </w:rPr>
        <w:t>咨询。申请人可到现场踏勘公开出让地块。申请一经受理确认后，即视为竞买人对公开出让文件及地块现状无异议并全部接受，并对有关承诺承担法律责任。</w:t>
      </w:r>
    </w:p>
    <w:p>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（二）申请人竞得土地后，拟成立新公司进行开发建设的，应在申请书中明确新公司的出资构成、成立时间等内容。</w:t>
      </w:r>
      <w:r>
        <w:rPr>
          <w:rFonts w:hint="eastAsia" w:ascii="Times New Roman" w:hAnsi="Times New Roman" w:eastAsia="仿宋_GB2312" w:cs="Times New Roman"/>
          <w:sz w:val="32"/>
          <w:szCs w:val="24"/>
        </w:rPr>
        <w:t>黄石市自然资源和规划局开发区</w:t>
      </w:r>
      <w:r>
        <w:rPr>
          <w:rFonts w:hint="eastAsia" w:ascii="Times New Roman" w:hAnsi="Times New Roman" w:eastAsia="仿宋_GB2312" w:cs="Times New Roman"/>
          <w:sz w:val="32"/>
          <w:szCs w:val="24"/>
          <w:lang w:val="en-US" w:eastAsia="zh-CN"/>
        </w:rPr>
        <w:t>·</w:t>
      </w:r>
      <w:r>
        <w:rPr>
          <w:rFonts w:hint="eastAsia" w:ascii="Times New Roman" w:hAnsi="Times New Roman" w:eastAsia="仿宋_GB2312" w:cs="Times New Roman"/>
          <w:sz w:val="32"/>
          <w:szCs w:val="24"/>
        </w:rPr>
        <w:t>铁山区分局</w:t>
      </w:r>
      <w:r>
        <w:rPr>
          <w:rFonts w:ascii="Times New Roman" w:hAnsi="Times New Roman" w:eastAsia="仿宋_GB2312" w:cs="Times New Roman"/>
          <w:sz w:val="32"/>
          <w:szCs w:val="24"/>
        </w:rPr>
        <w:t>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ascii="Times New Roman" w:hAnsi="Times New Roman" w:eastAsia="仿宋_GB2312" w:cs="Times New Roman"/>
          <w:sz w:val="32"/>
          <w:szCs w:val="24"/>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w:t>
      </w:r>
      <w:r>
        <w:rPr>
          <w:rFonts w:hint="eastAsia" w:ascii="Times New Roman" w:hAnsi="Times New Roman" w:eastAsia="仿宋_GB2312" w:cs="Times New Roman"/>
          <w:sz w:val="32"/>
          <w:szCs w:val="24"/>
        </w:rPr>
        <w:t>黄石市自然资源和规划局开发区·铁山区分局</w:t>
      </w:r>
      <w:r>
        <w:rPr>
          <w:rFonts w:ascii="Times New Roman" w:hAnsi="Times New Roman" w:eastAsia="仿宋_GB2312" w:cs="Times New Roman"/>
          <w:sz w:val="32"/>
          <w:szCs w:val="24"/>
        </w:rPr>
        <w:t>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pPr>
        <w:keepNext w:val="0"/>
        <w:keepLines w:val="0"/>
        <w:pageBreakBefore w:val="0"/>
        <w:widowControl w:val="0"/>
        <w:kinsoku/>
        <w:wordWrap/>
        <w:overflowPunct/>
        <w:autoSpaceDE/>
        <w:autoSpaceDN/>
        <w:bidi w:val="0"/>
        <w:adjustRightInd/>
        <w:spacing w:line="560" w:lineRule="exact"/>
        <w:ind w:firstLine="640" w:firstLineChars="200"/>
        <w:rPr>
          <w:rFonts w:ascii="仿宋_GB2312" w:hAnsi="仿宋_GB2312" w:eastAsia="仿宋_GB2312" w:cs="仿宋_GB2312"/>
          <w:sz w:val="32"/>
        </w:rPr>
      </w:pPr>
      <w:r>
        <w:rPr>
          <w:rFonts w:hint="eastAsia" w:ascii="仿宋_GB2312" w:hAnsi="仿宋_GB2312" w:eastAsia="仿宋_GB2312" w:cs="仿宋_GB2312"/>
          <w:sz w:val="32"/>
        </w:rPr>
        <w:t>（三）本次公开出让地块均设有出让底价，在公开出让活动结束前须严格保密。</w:t>
      </w:r>
    </w:p>
    <w:p>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四</w:t>
      </w: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网上</w:t>
      </w:r>
      <w:r>
        <w:rPr>
          <w:rFonts w:ascii="Times New Roman" w:hAnsi="Times New Roman" w:eastAsia="仿宋_GB2312" w:cs="Times New Roman"/>
          <w:sz w:val="32"/>
          <w:szCs w:val="24"/>
        </w:rPr>
        <w:t>竞买报价一经提交，不可撤回。</w:t>
      </w:r>
    </w:p>
    <w:p>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五</w:t>
      </w:r>
      <w:r>
        <w:rPr>
          <w:rFonts w:ascii="Times New Roman" w:hAnsi="Times New Roman" w:eastAsia="仿宋_GB2312" w:cs="Times New Roman"/>
          <w:sz w:val="32"/>
          <w:szCs w:val="24"/>
        </w:rPr>
        <w:t>）确定竞得人后，竞得人与</w:t>
      </w:r>
      <w:r>
        <w:rPr>
          <w:rFonts w:hint="eastAsia" w:ascii="Times New Roman" w:hAnsi="Times New Roman" w:eastAsia="仿宋_GB2312" w:cs="Times New Roman"/>
          <w:sz w:val="32"/>
          <w:szCs w:val="24"/>
        </w:rPr>
        <w:t>挂牌</w:t>
      </w:r>
      <w:r>
        <w:rPr>
          <w:rFonts w:ascii="Times New Roman" w:hAnsi="Times New Roman" w:eastAsia="仿宋_GB2312" w:cs="Times New Roman"/>
          <w:sz w:val="32"/>
          <w:szCs w:val="24"/>
        </w:rPr>
        <w:t>人签订《成交确认书》。委托他人代签的，应提交法定代表人亲笔签名并盖章的授权委托书。《成交确认书》对出让人和竞得人具有法律效力，出让人改变</w:t>
      </w:r>
      <w:r>
        <w:rPr>
          <w:rFonts w:hint="eastAsia" w:ascii="Times New Roman" w:hAnsi="Times New Roman" w:eastAsia="仿宋_GB2312" w:cs="Times New Roman"/>
          <w:sz w:val="32"/>
          <w:szCs w:val="24"/>
        </w:rPr>
        <w:t>网上</w:t>
      </w:r>
      <w:r>
        <w:rPr>
          <w:rFonts w:ascii="Times New Roman" w:hAnsi="Times New Roman" w:eastAsia="仿宋_GB2312" w:cs="Times New Roman"/>
          <w:sz w:val="32"/>
          <w:szCs w:val="24"/>
        </w:rPr>
        <w:t>出让结果的，或者竞得人放弃竞得宗地的，应当承担法律责任。</w:t>
      </w:r>
    </w:p>
    <w:p>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六</w:t>
      </w:r>
      <w:r>
        <w:rPr>
          <w:rFonts w:ascii="Times New Roman" w:hAnsi="Times New Roman" w:eastAsia="仿宋_GB2312" w:cs="Times New Roman"/>
          <w:sz w:val="32"/>
          <w:szCs w:val="24"/>
        </w:rPr>
        <w:t>）竞得人交纳的竞买保证金，出让成交后</w:t>
      </w:r>
      <w:r>
        <w:rPr>
          <w:rFonts w:hint="eastAsia" w:ascii="Times New Roman" w:hAnsi="Times New Roman" w:eastAsia="仿宋_GB2312" w:cs="Times New Roman"/>
          <w:sz w:val="32"/>
          <w:szCs w:val="24"/>
        </w:rPr>
        <w:t>3个工作日内办理了</w:t>
      </w:r>
      <w:r>
        <w:rPr>
          <w:rFonts w:ascii="Times New Roman" w:hAnsi="Times New Roman" w:eastAsia="仿宋_GB2312" w:cs="Times New Roman"/>
          <w:sz w:val="32"/>
          <w:szCs w:val="24"/>
        </w:rPr>
        <w:t>《成交确认书》</w:t>
      </w:r>
      <w:r>
        <w:rPr>
          <w:rFonts w:hint="eastAsia" w:ascii="Times New Roman" w:hAnsi="Times New Roman" w:eastAsia="仿宋_GB2312" w:cs="Times New Roman"/>
          <w:sz w:val="32"/>
          <w:szCs w:val="24"/>
        </w:rPr>
        <w:t>的，</w:t>
      </w:r>
      <w:r>
        <w:rPr>
          <w:rFonts w:ascii="Times New Roman" w:hAnsi="Times New Roman" w:eastAsia="仿宋_GB2312" w:cs="Times New Roman"/>
          <w:sz w:val="32"/>
          <w:szCs w:val="24"/>
        </w:rPr>
        <w:t>保证金转作受让地块的定金。未竞得人交纳的竞买保证金，在出让活动结束后5个工作日内予以退还，不计利息。</w:t>
      </w:r>
    </w:p>
    <w:p>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七</w:t>
      </w:r>
      <w:r>
        <w:rPr>
          <w:rFonts w:ascii="Times New Roman" w:hAnsi="Times New Roman" w:eastAsia="仿宋_GB2312" w:cs="Times New Roman"/>
          <w:sz w:val="32"/>
          <w:szCs w:val="24"/>
        </w:rPr>
        <w:t>）竞得人与出让人签订《国有建设用地使用权出让合同》后，应当按出让合同约定支付出让成交价款。竞得人付清全部出让成交价款后，依法申请办理土地登记</w:t>
      </w:r>
      <w:r>
        <w:rPr>
          <w:rFonts w:hint="eastAsia" w:ascii="Times New Roman" w:hAnsi="Times New Roman" w:eastAsia="仿宋_GB2312" w:cs="Times New Roman"/>
          <w:sz w:val="32"/>
          <w:szCs w:val="24"/>
        </w:rPr>
        <w:t>手续。</w:t>
      </w:r>
    </w:p>
    <w:p>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（八）挂牌期满，网上挂牌出让成交确认系统根据下列条件自动确定竞得人：</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1、在挂牌期限内，只有一个竞买人报价，且报价等于或高于底价，挂牌成交；</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2、在挂牌期限内，有两个或者两个以上竞买人报价的，报价等于或高于底价，且出价最高者为竞得人；</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3、在挂牌期限内，无应价者或竞买人的报价均低于底价的，挂牌不成交；</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4、在挂牌期限截止前10分钟，竞买人必须在挂牌报价期间最少有一次报价，才能进入最后的限时报价；</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5、在挂牌期限截止时前10分钟内仍有竞买人报价的，将对挂牌宗地进行网上限时竞价，报价最高且报价等于或高于底价者为竞得人。</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铁山区分局通过“信用中国”网站查询竞得人是否存在失信记录并截图取证，竞得人存在失信记录的取消其竞得资格，交易结果无效，交纳的竞买保证金不予退还。</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7、本次公开出让地块均设有出让底价，在公开出让活动结束前须严格保密。</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九</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有下列情形之一的，开发区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铁山区公共资源交易中心将中（终）止挂牌活动：</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1、因系统遭受破坏或发生电力、网络故障等不可抗力以及网络恶意入侵等非挂牌人因素，导致系统不能正常运行的；</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2、竞买人串通损害国家利益、社会利益或他人合法权益的；</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3、出让工作人员私下接触竞买人，足以影响公开出让公正性的；</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4、应当依法中（终）止公开出让活动的其他情形。</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竞得人有下列行为的视为违约，视为违约，挂牌人可取消其竞得人资格，竞买保证金不予退还：</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1、竞得人逾期或拒绝签订《成交确认书》的；</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2、竞得人逾期或拒绝签订《国有建设用地使用权出让合同》的；</w:t>
      </w:r>
    </w:p>
    <w:p>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十一</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竞得人有下列行为之一的，竞得结果无效，造成损失的，应当依法承担赔偿责任：</w:t>
      </w:r>
    </w:p>
    <w:p>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1、采取行贿、恶意串通等非法手段竞得的；</w:t>
      </w:r>
    </w:p>
    <w:p>
      <w:pPr>
        <w:keepNext w:val="0"/>
        <w:keepLines w:val="0"/>
        <w:pageBreakBefore w:val="0"/>
        <w:widowControl w:val="0"/>
        <w:kinsoku/>
        <w:wordWrap/>
        <w:overflowPunct/>
        <w:topLinePunct/>
        <w:autoSpaceDE/>
        <w:autoSpaceDN/>
        <w:bidi w:val="0"/>
        <w:adjustRightInd/>
        <w:snapToGrid w:val="0"/>
        <w:spacing w:line="560" w:lineRule="exact"/>
        <w:ind w:left="160" w:leftChars="76" w:firstLine="480" w:firstLineChars="15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2、提供的注册信息不真实、不准确、不完整等原因造成宗地出让无法成交的；</w:t>
      </w:r>
    </w:p>
    <w:p>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3、不按网上注册时登记的内容提供有关文件材料，或提供虚假文件材料、隐瞒事实，引起出让纠纷的；</w:t>
      </w:r>
    </w:p>
    <w:p>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4、构成违约责任的其他行为。</w:t>
      </w:r>
    </w:p>
    <w:p>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（十二）上述宗地出让成交价为宗地的总地价款。</w:t>
      </w:r>
    </w:p>
    <w:p>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（十四）公开出让不成交的，应当按规定由黄石市自然资源和规划局开发区·铁山区分局组织出让。</w:t>
      </w:r>
    </w:p>
    <w:p>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pPr>
        <w:keepNext w:val="0"/>
        <w:keepLines w:val="0"/>
        <w:pageBreakBefore w:val="0"/>
        <w:widowControl w:val="0"/>
        <w:kinsoku/>
        <w:wordWrap/>
        <w:overflowPunct/>
        <w:autoSpaceDE/>
        <w:autoSpaceDN/>
        <w:bidi w:val="0"/>
        <w:adjustRightInd/>
        <w:spacing w:line="560" w:lineRule="exact"/>
        <w:ind w:firstLine="320" w:firstLineChars="100"/>
        <w:jc w:val="both"/>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pPr>
        <w:keepNext w:val="0"/>
        <w:keepLines w:val="0"/>
        <w:pageBreakBefore w:val="0"/>
        <w:widowControl w:val="0"/>
        <w:kinsoku/>
        <w:wordWrap/>
        <w:overflowPunct/>
        <w:autoSpaceDE/>
        <w:autoSpaceDN/>
        <w:bidi w:val="0"/>
        <w:adjustRightInd/>
        <w:spacing w:line="560" w:lineRule="exact"/>
        <w:ind w:firstLine="320" w:firstLineChars="1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挂牌人：黄石经济技术开发区·铁山区公共资源交易中心</w:t>
      </w:r>
    </w:p>
    <w:p>
      <w:pPr>
        <w:keepNext w:val="0"/>
        <w:keepLines w:val="0"/>
        <w:pageBreakBefore w:val="0"/>
        <w:widowControl w:val="0"/>
        <w:kinsoku/>
        <w:wordWrap/>
        <w:overflowPunct/>
        <w:autoSpaceDE/>
        <w:autoSpaceDN/>
        <w:bidi w:val="0"/>
        <w:adjustRightInd/>
        <w:spacing w:line="560" w:lineRule="exact"/>
        <w:ind w:firstLine="4800" w:firstLineChars="1500"/>
        <w:rPr>
          <w:rFonts w:hint="eastAsia" w:ascii="仿宋_GB2312" w:hAnsi="仿宋_GB2312" w:eastAsia="仿宋_GB2312" w:cs="仿宋_GB2312"/>
          <w:sz w:val="32"/>
          <w:szCs w:val="24"/>
        </w:rPr>
      </w:pPr>
    </w:p>
    <w:p>
      <w:pPr>
        <w:keepNext w:val="0"/>
        <w:keepLines w:val="0"/>
        <w:pageBreakBefore w:val="0"/>
        <w:widowControl w:val="0"/>
        <w:kinsoku/>
        <w:wordWrap/>
        <w:overflowPunct/>
        <w:autoSpaceDE/>
        <w:autoSpaceDN/>
        <w:bidi w:val="0"/>
        <w:adjustRightInd/>
        <w:spacing w:line="560" w:lineRule="exact"/>
        <w:ind w:firstLine="4800" w:firstLineChars="15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202</w:t>
      </w:r>
      <w:r>
        <w:rPr>
          <w:rFonts w:hint="eastAsia" w:ascii="仿宋_GB2312" w:hAnsi="仿宋_GB2312" w:eastAsia="仿宋_GB2312" w:cs="仿宋_GB2312"/>
          <w:sz w:val="32"/>
          <w:szCs w:val="24"/>
          <w:lang w:val="en-US" w:eastAsia="zh-CN"/>
        </w:rPr>
        <w:t>5</w:t>
      </w:r>
      <w:r>
        <w:rPr>
          <w:rFonts w:hint="eastAsia" w:ascii="仿宋_GB2312" w:hAnsi="仿宋_GB2312" w:eastAsia="仿宋_GB2312" w:cs="仿宋_GB2312"/>
          <w:sz w:val="32"/>
          <w:szCs w:val="24"/>
        </w:rPr>
        <w:t>年</w:t>
      </w:r>
      <w:r>
        <w:rPr>
          <w:rFonts w:hint="eastAsia" w:ascii="仿宋_GB2312" w:hAnsi="仿宋_GB2312" w:eastAsia="仿宋_GB2312" w:cs="仿宋_GB2312"/>
          <w:sz w:val="32"/>
          <w:szCs w:val="24"/>
          <w:lang w:val="en-US" w:eastAsia="zh-CN"/>
        </w:rPr>
        <w:t>11</w:t>
      </w:r>
      <w:r>
        <w:rPr>
          <w:rFonts w:hint="eastAsia" w:ascii="仿宋_GB2312" w:hAnsi="仿宋_GB2312" w:eastAsia="仿宋_GB2312" w:cs="仿宋_GB2312"/>
          <w:sz w:val="32"/>
          <w:szCs w:val="24"/>
        </w:rPr>
        <w:t>月</w:t>
      </w:r>
      <w:r>
        <w:rPr>
          <w:rFonts w:hint="eastAsia" w:ascii="仿宋_GB2312" w:hAnsi="仿宋_GB2312" w:eastAsia="仿宋_GB2312" w:cs="仿宋_GB2312"/>
          <w:sz w:val="32"/>
          <w:szCs w:val="24"/>
          <w:lang w:val="en-US" w:eastAsia="zh-CN"/>
        </w:rPr>
        <w:t>17</w:t>
      </w:r>
      <w:r>
        <w:rPr>
          <w:rFonts w:hint="eastAsia" w:ascii="仿宋_GB2312" w:hAnsi="仿宋_GB2312" w:eastAsia="仿宋_GB2312" w:cs="仿宋_GB2312"/>
          <w:sz w:val="32"/>
          <w:szCs w:val="24"/>
        </w:rPr>
        <w:t>日</w:t>
      </w:r>
    </w:p>
    <w:p>
      <w:pPr>
        <w:rPr>
          <w:rFonts w:ascii="Times New Roman" w:hAnsi="Times New Roman" w:eastAsia="仿宋_GB2312" w:cs="Times New Roman"/>
          <w:sz w:val="32"/>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pPr>
                      <w:pStyle w:val="5"/>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IzMGZhY2M2M2I1NDJmN2FhMzY1N2Y1ZTVhMjE2N2IifQ=="/>
  </w:docVars>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FBD2D33"/>
    <w:rsid w:val="1D144419"/>
    <w:rsid w:val="1F0B1E70"/>
    <w:rsid w:val="21A34113"/>
    <w:rsid w:val="21D95D87"/>
    <w:rsid w:val="233419C8"/>
    <w:rsid w:val="234D1F10"/>
    <w:rsid w:val="26E86B9F"/>
    <w:rsid w:val="273807F7"/>
    <w:rsid w:val="2A1E615D"/>
    <w:rsid w:val="2BD8775D"/>
    <w:rsid w:val="317A07B3"/>
    <w:rsid w:val="375F127B"/>
    <w:rsid w:val="381551E7"/>
    <w:rsid w:val="3966114F"/>
    <w:rsid w:val="40A67D91"/>
    <w:rsid w:val="42362ABC"/>
    <w:rsid w:val="43182221"/>
    <w:rsid w:val="44120C62"/>
    <w:rsid w:val="49C268F4"/>
    <w:rsid w:val="4DAC59AE"/>
    <w:rsid w:val="517A638F"/>
    <w:rsid w:val="540E62EE"/>
    <w:rsid w:val="541A79B6"/>
    <w:rsid w:val="54C87412"/>
    <w:rsid w:val="5A1804F3"/>
    <w:rsid w:val="5B3203DE"/>
    <w:rsid w:val="5C86208C"/>
    <w:rsid w:val="5D1A51E2"/>
    <w:rsid w:val="60A35F5F"/>
    <w:rsid w:val="60A94DEF"/>
    <w:rsid w:val="661E1587"/>
    <w:rsid w:val="672F3320"/>
    <w:rsid w:val="68E11452"/>
    <w:rsid w:val="6A184540"/>
    <w:rsid w:val="6AD828AA"/>
    <w:rsid w:val="6C430463"/>
    <w:rsid w:val="7491538B"/>
    <w:rsid w:val="75E749C9"/>
    <w:rsid w:val="766906C3"/>
    <w:rsid w:val="78267E28"/>
    <w:rsid w:val="79BF0551"/>
    <w:rsid w:val="7F480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autoRedefine/>
    <w:unhideWhenUsed/>
    <w:qFormat/>
    <w:uiPriority w:val="0"/>
    <w:pPr>
      <w:tabs>
        <w:tab w:val="center" w:pos="4153"/>
        <w:tab w:val="right" w:pos="8306"/>
      </w:tabs>
      <w:snapToGrid w:val="0"/>
      <w:jc w:val="left"/>
    </w:pPr>
    <w:rPr>
      <w:sz w:val="18"/>
    </w:rPr>
  </w:style>
  <w:style w:type="paragraph" w:styleId="6">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unhideWhenUsed/>
    <w:qFormat/>
    <w:uiPriority w:val="0"/>
    <w:pPr>
      <w:jc w:val="left"/>
    </w:pPr>
    <w:rPr>
      <w:rFonts w:cs="Times New Roman"/>
      <w:kern w:val="0"/>
      <w:sz w:val="24"/>
    </w:rPr>
  </w:style>
  <w:style w:type="character" w:styleId="10">
    <w:name w:val="Strong"/>
    <w:basedOn w:val="9"/>
    <w:autoRedefine/>
    <w:qFormat/>
    <w:uiPriority w:val="22"/>
    <w:rPr>
      <w:b/>
      <w:bCs/>
    </w:rPr>
  </w:style>
  <w:style w:type="character" w:styleId="11">
    <w:name w:val="HTML Typewriter"/>
    <w:basedOn w:val="9"/>
    <w:autoRedefine/>
    <w:qFormat/>
    <w:uiPriority w:val="0"/>
    <w:rPr>
      <w:rFonts w:hint="default" w:ascii="monospace" w:hAnsi="monospace" w:eastAsia="monospace" w:cs="monospace"/>
      <w:sz w:val="20"/>
    </w:rPr>
  </w:style>
  <w:style w:type="character" w:styleId="12">
    <w:name w:val="HTML Cite"/>
    <w:basedOn w:val="9"/>
    <w:autoRedefine/>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autoRedefine/>
    <w:semiHidden/>
    <w:qFormat/>
    <w:uiPriority w:val="99"/>
    <w:rPr>
      <w:sz w:val="18"/>
    </w:rPr>
  </w:style>
  <w:style w:type="character" w:customStyle="1" w:styleId="15">
    <w:name w:val="正文文本缩进 Char"/>
    <w:basedOn w:val="9"/>
    <w:link w:val="2"/>
    <w:autoRedefine/>
    <w:semiHidden/>
    <w:qFormat/>
    <w:uiPriority w:val="99"/>
  </w:style>
  <w:style w:type="paragraph" w:customStyle="1" w:styleId="16">
    <w:name w:val="样式1"/>
    <w:basedOn w:val="1"/>
    <w:autoRedefine/>
    <w:qFormat/>
    <w:uiPriority w:val="0"/>
    <w:rPr>
      <w:rFonts w:ascii="Times New Roman" w:hAnsi="Times New Roman" w:eastAsia="仿宋_GB2312" w:cs="Times New Roman"/>
      <w:sz w:val="32"/>
      <w:szCs w:val="24"/>
    </w:rPr>
  </w:style>
  <w:style w:type="character" w:customStyle="1" w:styleId="17">
    <w:name w:val="页眉 Char"/>
    <w:basedOn w:val="9"/>
    <w:link w:val="6"/>
    <w:autoRedefine/>
    <w:semiHidden/>
    <w:qFormat/>
    <w:uiPriority w:val="99"/>
    <w:rPr>
      <w:sz w:val="18"/>
      <w:szCs w:val="18"/>
    </w:rPr>
  </w:style>
  <w:style w:type="character" w:customStyle="1" w:styleId="18">
    <w:name w:val="纯文本 Char"/>
    <w:basedOn w:val="9"/>
    <w:link w:val="3"/>
    <w:autoRedefine/>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7097</Words>
  <Characters>8395</Characters>
  <Lines>47</Lines>
  <Paragraphs>13</Paragraphs>
  <TotalTime>17</TotalTime>
  <ScaleCrop>false</ScaleCrop>
  <LinksUpToDate>false</LinksUpToDate>
  <CharactersWithSpaces>8403</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Administrator</cp:lastModifiedBy>
  <dcterms:modified xsi:type="dcterms:W3CDTF">2025-11-14T07:36:07Z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eyJoZGlkIjoiNzkxNWU0ZmEzNDM4ZGY5ODAxZGJkYjJjODk1OWU3MTgiLCJ1c2VySWQiOiI1NzcwODM3OTYifQ==</vt:lpwstr>
  </property>
  <property fmtid="{D5CDD505-2E9C-101B-9397-08002B2CF9AE}" pid="3" name="KSOProductBuildVer">
    <vt:lpwstr>2052-12.1.0.16250</vt:lpwstr>
  </property>
  <property fmtid="{D5CDD505-2E9C-101B-9397-08002B2CF9AE}" pid="4" name="ICV">
    <vt:lpwstr>DE9A2EE126AA466697018884DA6F4EAD_13</vt:lpwstr>
  </property>
</Properties>
</file>