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ind w:firstLine="1100" w:firstLineChars="250"/>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5</w:t>
      </w:r>
      <w:r>
        <w:rPr>
          <w:rFonts w:hint="eastAsia" w:ascii="仿宋" w:hAnsi="仿宋" w:eastAsia="仿宋"/>
          <w:sz w:val="32"/>
          <w:szCs w:val="32"/>
        </w:rPr>
        <w:t>〕</w:t>
      </w:r>
      <w:r>
        <w:rPr>
          <w:rFonts w:hint="eastAsia" w:ascii="仿宋" w:hAnsi="仿宋" w:eastAsia="仿宋"/>
          <w:sz w:val="32"/>
          <w:szCs w:val="32"/>
          <w:lang w:val="en-US" w:eastAsia="zh-CN"/>
        </w:rPr>
        <w:t>11</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A5F9659">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pStyle w:val="2"/>
        <w:keepNext w:val="0"/>
        <w:keepLines w:val="0"/>
        <w:pageBreakBefore w:val="0"/>
        <w:widowControl w:val="0"/>
        <w:kinsoku/>
        <w:wordWrap/>
        <w:overflowPunct/>
        <w:topLinePunct w:val="0"/>
        <w:autoSpaceDE/>
        <w:autoSpaceDN/>
        <w:bidi w:val="0"/>
        <w:adjustRightInd/>
        <w:snapToGrid/>
        <w:spacing w:line="560" w:lineRule="exact"/>
        <w:ind w:firstLine="320" w:firstLineChars="100"/>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314"/>
        <w:gridCol w:w="1110"/>
        <w:gridCol w:w="933"/>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3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110"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933"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59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31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110"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933"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32"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pacing w:val="-8"/>
                <w:sz w:val="18"/>
                <w:szCs w:val="18"/>
                <w:lang w:val="en-US" w:eastAsia="zh-CN"/>
              </w:rPr>
            </w:pPr>
            <w:r>
              <w:rPr>
                <w:rFonts w:hint="eastAsia"/>
                <w:spacing w:val="-8"/>
                <w:sz w:val="18"/>
                <w:szCs w:val="18"/>
                <w:lang w:eastAsia="zh-CN"/>
              </w:rPr>
              <w:t>HG2</w:t>
            </w:r>
            <w:r>
              <w:rPr>
                <w:rFonts w:hint="eastAsia"/>
                <w:spacing w:val="-8"/>
                <w:sz w:val="18"/>
                <w:szCs w:val="18"/>
                <w:lang w:val="en-US" w:eastAsia="zh-CN"/>
              </w:rPr>
              <w:t>5031</w:t>
            </w:r>
          </w:p>
        </w:tc>
        <w:tc>
          <w:tcPr>
            <w:tcW w:w="131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pacing w:val="-8"/>
                <w:sz w:val="18"/>
                <w:szCs w:val="18"/>
                <w:lang w:val="en-US" w:eastAsia="zh-CN"/>
              </w:rPr>
            </w:pPr>
            <w:r>
              <w:rPr>
                <w:rFonts w:hint="eastAsia"/>
                <w:spacing w:val="-8"/>
                <w:sz w:val="18"/>
                <w:szCs w:val="18"/>
                <w:lang w:val="en-US" w:eastAsia="zh-CN"/>
              </w:rPr>
              <w:t>金山大道以北黄思湾路以东</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pacing w:val="-8"/>
                <w:sz w:val="18"/>
                <w:szCs w:val="18"/>
                <w:lang w:val="en-US" w:eastAsia="zh-CN"/>
              </w:rPr>
            </w:pPr>
            <w:r>
              <w:rPr>
                <w:rFonts w:hint="eastAsia"/>
                <w:spacing w:val="-8"/>
                <w:sz w:val="18"/>
                <w:szCs w:val="18"/>
                <w:lang w:val="en-US" w:eastAsia="zh-CN"/>
              </w:rPr>
              <w:t>55712.63</w:t>
            </w:r>
            <w:r>
              <w:rPr>
                <w:rFonts w:hint="eastAsia"/>
                <w:spacing w:val="-8"/>
                <w:sz w:val="18"/>
                <w:szCs w:val="18"/>
                <w:lang w:eastAsia="zh-CN"/>
              </w:rPr>
              <w:t>（含临路绿化带</w:t>
            </w:r>
            <w:r>
              <w:rPr>
                <w:rFonts w:hint="eastAsia"/>
                <w:spacing w:val="-8"/>
                <w:sz w:val="18"/>
                <w:szCs w:val="18"/>
                <w:lang w:val="en-US" w:eastAsia="zh-CN"/>
              </w:rPr>
              <w:t>8998.97</w:t>
            </w:r>
            <w:r>
              <w:rPr>
                <w:rFonts w:hint="eastAsia"/>
                <w:spacing w:val="-8"/>
                <w:sz w:val="18"/>
                <w:szCs w:val="18"/>
                <w:lang w:eastAsia="zh-CN"/>
              </w:rPr>
              <w:t>）</w:t>
            </w:r>
          </w:p>
        </w:tc>
        <w:tc>
          <w:tcPr>
            <w:tcW w:w="933"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pacing w:val="-8"/>
                <w:sz w:val="18"/>
                <w:szCs w:val="18"/>
                <w:lang w:val="en-US" w:eastAsia="zh-CN"/>
              </w:rPr>
            </w:pPr>
            <w:r>
              <w:rPr>
                <w:rFonts w:hint="eastAsia"/>
                <w:spacing w:val="-8"/>
                <w:sz w:val="18"/>
                <w:szCs w:val="18"/>
                <w:lang w:eastAsia="zh-CN"/>
              </w:rPr>
              <w:t>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pacing w:val="-8"/>
                <w:sz w:val="18"/>
                <w:szCs w:val="18"/>
                <w:lang w:val="en-US" w:eastAsia="zh-CN"/>
              </w:rPr>
            </w:pPr>
            <w:r>
              <w:rPr>
                <w:rFonts w:hint="eastAsia"/>
                <w:spacing w:val="-8"/>
                <w:sz w:val="18"/>
                <w:szCs w:val="18"/>
                <w:lang w:eastAsia="zh-CN"/>
              </w:rPr>
              <w:t>≥</w:t>
            </w:r>
            <w:r>
              <w:rPr>
                <w:rFonts w:hint="eastAsia"/>
                <w:spacing w:val="-8"/>
                <w:sz w:val="18"/>
                <w:szCs w:val="18"/>
                <w:lang w:val="en-US" w:eastAsia="zh-CN"/>
              </w:rPr>
              <w:t>0.8</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pacing w:val="-8"/>
                <w:sz w:val="18"/>
                <w:szCs w:val="18"/>
                <w:lang w:val="en-US" w:eastAsia="zh-CN"/>
              </w:rPr>
            </w:pPr>
            <w:r>
              <w:rPr>
                <w:rFonts w:hint="eastAsia"/>
                <w:spacing w:val="-8"/>
                <w:sz w:val="18"/>
                <w:szCs w:val="18"/>
                <w:lang w:eastAsia="zh-CN"/>
              </w:rPr>
              <w:t>≥</w:t>
            </w:r>
            <w:r>
              <w:rPr>
                <w:rFonts w:hint="eastAsia"/>
                <w:spacing w:val="-8"/>
                <w:sz w:val="18"/>
                <w:szCs w:val="18"/>
                <w:lang w:val="en-US" w:eastAsia="zh-CN"/>
              </w:rPr>
              <w:t>40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pacing w:val="-8"/>
                <w:sz w:val="18"/>
                <w:szCs w:val="18"/>
                <w:lang w:val="en-US" w:eastAsia="zh-CN"/>
              </w:rPr>
            </w:pPr>
            <w:r>
              <w:rPr>
                <w:rFonts w:hint="eastAsia"/>
                <w:spacing w:val="-8"/>
                <w:sz w:val="18"/>
                <w:szCs w:val="18"/>
                <w:lang w:eastAsia="zh-CN"/>
              </w:rPr>
              <w:t>≤</w:t>
            </w:r>
            <w:r>
              <w:rPr>
                <w:rFonts w:hint="eastAsia"/>
                <w:spacing w:val="-8"/>
                <w:sz w:val="18"/>
                <w:szCs w:val="18"/>
                <w:lang w:val="en-US" w:eastAsia="zh-CN"/>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pacing w:val="-8"/>
                <w:sz w:val="18"/>
                <w:szCs w:val="18"/>
                <w:lang w:val="en-US" w:eastAsia="zh-CN"/>
              </w:rPr>
            </w:pPr>
            <w:r>
              <w:rPr>
                <w:rFonts w:hint="eastAsia"/>
                <w:spacing w:val="-8"/>
                <w:sz w:val="18"/>
                <w:szCs w:val="18"/>
                <w:lang w:eastAsia="zh-CN"/>
              </w:rPr>
              <w:t>工业</w:t>
            </w:r>
            <w:r>
              <w:rPr>
                <w:rFonts w:hint="eastAsia"/>
                <w:spacing w:val="-8"/>
                <w:sz w:val="18"/>
                <w:szCs w:val="18"/>
                <w:lang w:val="en-US" w:eastAsia="zh-CN"/>
              </w:rPr>
              <w:t>5</w:t>
            </w:r>
            <w:r>
              <w:rPr>
                <w:rFonts w:hint="eastAsia"/>
                <w:spacing w:val="-8"/>
                <w:sz w:val="18"/>
                <w:szCs w:val="18"/>
                <w:lang w:eastAsia="zh-CN"/>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0D05610">
            <w:pPr>
              <w:spacing w:line="220" w:lineRule="exact"/>
              <w:jc w:val="center"/>
              <w:rPr>
                <w:rFonts w:hint="eastAsia"/>
                <w:spacing w:val="-8"/>
                <w:sz w:val="18"/>
                <w:szCs w:val="18"/>
                <w:lang w:val="en-US" w:eastAsia="zh-CN"/>
              </w:rPr>
            </w:pPr>
            <w:r>
              <w:rPr>
                <w:rFonts w:hint="eastAsia"/>
                <w:spacing w:val="-8"/>
                <w:sz w:val="18"/>
                <w:szCs w:val="18"/>
                <w:lang w:val="en-US" w:eastAsia="zh-CN"/>
              </w:rPr>
              <w:t xml:space="preserve">769 </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pacing w:val="-8"/>
                <w:sz w:val="18"/>
                <w:szCs w:val="18"/>
                <w:lang w:val="en-US" w:eastAsia="zh-CN"/>
              </w:rPr>
            </w:pPr>
            <w:r>
              <w:rPr>
                <w:rFonts w:hint="eastAsia"/>
                <w:spacing w:val="-8"/>
                <w:sz w:val="18"/>
                <w:szCs w:val="18"/>
                <w:lang w:val="en-US" w:eastAsia="zh-CN"/>
              </w:rPr>
              <w:t xml:space="preserve">1538  </w:t>
            </w:r>
          </w:p>
        </w:tc>
      </w:tr>
    </w:tbl>
    <w:p w14:paraId="646DB48F">
      <w:pPr>
        <w:keepNext w:val="0"/>
        <w:keepLines w:val="0"/>
        <w:pageBreakBefore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7BDA5DCA">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 铁山区政府负责。宗地涉及的契税、印花税由竞得人按规定缴纳。</w:t>
      </w:r>
    </w:p>
    <w:p w14:paraId="73EA4DD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7BB316DD">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（三）土地交付：由黄石经济技术开发区管委会·铁山区政府负责。</w:t>
      </w:r>
    </w:p>
    <w:p w14:paraId="640739D6">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25031地块竞得人必须严格按照黄石市自然资源和规划局出具规划条件要求进行开发建设。HG25031号地块土地出让金自《国有土地使用权出让合同》签订之日起30天内缴清。受让人宗地所涉及的契税、印花税没有纳入土地出让价款，由竞得者在土地出让合同签订之日起1个月内缴清。企业提供供地申请等相关资料，再按程序签订《国有建设用地使用权出让合同》，并在签订出让合同后10个工作日内建立“建设项目信息公示牌”，公示牌具体规格及公示内容由自然资源和规划部门另行告知。</w:t>
      </w:r>
    </w:p>
    <w:p w14:paraId="58526FFB">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（五）上述宗地以现状挂牌出让，实际勘测交付面积与挂牌出让文件标明的出让面积差异率在1%以内的，面积差异不影响成交价款。</w:t>
      </w:r>
    </w:p>
    <w:p w14:paraId="020B20C8">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pStyle w:val="7"/>
        <w:keepNext w:val="0"/>
        <w:keepLines w:val="0"/>
        <w:pageBreakBefore w:val="0"/>
        <w:widowControl/>
        <w:kinsoku/>
        <w:wordWrap/>
        <w:overflowPunct/>
        <w:autoSpaceDE/>
        <w:autoSpaceDN/>
        <w:bidi w:val="0"/>
        <w:adjustRightInd/>
        <w:spacing w:line="560" w:lineRule="exact"/>
        <w:ind w:firstLine="640"/>
        <w:jc w:val="both"/>
        <w:rPr>
          <w:rFonts w:hint="eastAsia" w:ascii="Times New Roman" w:hAnsi="Times New Roman" w:eastAsia="仿宋_GB2312"/>
          <w:kern w:val="2"/>
          <w:sz w:val="32"/>
          <w:szCs w:val="24"/>
        </w:rPr>
      </w:pPr>
      <w:r>
        <w:rPr>
          <w:rFonts w:hint="eastAsia" w:ascii="仿宋_GB2312" w:hAnsi="仿宋_GB2312" w:eastAsia="仿宋_GB2312" w:cs="仿宋_GB2312"/>
          <w:kern w:val="2"/>
          <w:sz w:val="32"/>
          <w:szCs w:val="24"/>
          <w:lang w:val="en-US" w:eastAsia="zh-CN" w:bidi="ar-SA"/>
        </w:rPr>
        <w:t>（一）中华人民共和国境内外的法人、自然人和其他组织均可申请参加，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kern w:val="2"/>
          <w:sz w:val="32"/>
          <w:szCs w:val="24"/>
        </w:rPr>
        <w:t>。</w:t>
      </w:r>
      <w:bookmarkStart w:id="0" w:name="_GoBack"/>
      <w:bookmarkEnd w:id="0"/>
    </w:p>
    <w:p w14:paraId="2034BD4F">
      <w:pPr>
        <w:pStyle w:val="7"/>
        <w:keepNext w:val="0"/>
        <w:keepLines w:val="0"/>
        <w:pageBreakBefore w:val="0"/>
        <w:widowControl/>
        <w:kinsoku/>
        <w:wordWrap/>
        <w:overflowPunct/>
        <w:autoSpaceDE/>
        <w:autoSpaceDN/>
        <w:bidi w:val="0"/>
        <w:adjustRightInd/>
        <w:spacing w:line="560" w:lineRule="exact"/>
        <w:ind w:firstLine="640"/>
        <w:jc w:val="both"/>
        <w:rPr>
          <w:rFonts w:ascii="Times New Roman" w:hAnsi="Times New Roman" w:eastAsia="仿宋_GB2312" w:cs="Times New Roman"/>
          <w:kern w:val="2"/>
          <w:sz w:val="32"/>
          <w:szCs w:val="24"/>
          <w:lang w:val="en-US" w:eastAsia="zh-CN" w:bidi="ar-SA"/>
        </w:rPr>
      </w:pPr>
      <w:r>
        <w:rPr>
          <w:rFonts w:hint="eastAsia" w:ascii="Times New Roman" w:hAnsi="Times New Roman" w:eastAsia="仿宋_GB2312"/>
          <w:kern w:val="2"/>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ascii="Times New Roman" w:hAnsi="Times New Roman" w:eastAsia="仿宋_GB2312" w:cs="Times New Roman"/>
          <w:kern w:val="2"/>
          <w:sz w:val="32"/>
          <w:szCs w:val="24"/>
          <w:lang w:val="en-US" w:eastAsia="zh-CN" w:bidi="ar-SA"/>
        </w:rPr>
        <w:t>。</w:t>
      </w:r>
    </w:p>
    <w:p w14:paraId="1B42EF1C">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本次国有建设用地使用权挂牌出让只能在互联网上通过开发区·铁山区公共资源交易中心国有土地网上交易系统进行。只有办理数字证书、通过网上注册、足额交纳竞买保证金的申请人，才能参加网上挂牌出让活动。</w:t>
      </w:r>
    </w:p>
    <w:p w14:paraId="41E29280">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只接受网上报名、网上竞买申请及报价。竞买人的网上竞买报价一经系统确认，不能修改或撤回。</w:t>
      </w:r>
    </w:p>
    <w:p w14:paraId="166D1A55">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不接受电话、邮寄、书面、口头等其他方式的竞买申请和报价。</w:t>
      </w:r>
    </w:p>
    <w:p w14:paraId="361F93FC">
      <w:pPr>
        <w:keepNext w:val="0"/>
        <w:keepLines w:val="0"/>
        <w:pageBreakBefore w:val="0"/>
        <w:kinsoku/>
        <w:wordWrap/>
        <w:overflowPunct/>
        <w:autoSpaceDE/>
        <w:autoSpaceDN/>
        <w:bidi w:val="0"/>
        <w:adjustRightInd/>
        <w:spacing w:line="560" w:lineRule="exact"/>
        <w:ind w:firstLine="576" w:firstLineChars="18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交纳竞买保证金的截止时间为2026年1月24日16时（收款单位：黄石经济技术开发区·铁山区公共资源交易中心；开户行：中国银行股份有限公司黄石分行；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keepNext w:val="0"/>
        <w:keepLines w:val="0"/>
        <w:pageBreakBefore w:val="0"/>
        <w:kinsoku/>
        <w:wordWrap/>
        <w:overflowPunct/>
        <w:topLinePunct/>
        <w:autoSpaceDE/>
        <w:autoSpaceDN/>
        <w:bidi w:val="0"/>
        <w:adjustRightInd/>
        <w:snapToGrid w:val="0"/>
        <w:spacing w:line="560" w:lineRule="exact"/>
        <w:ind w:firstLine="640" w:firstLineChars="20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竞买人保证金必须从单位账户汇出，在网上交易系统点击“申购”,通过交易系统在2026年1月24日16时</w:t>
      </w:r>
      <w:r>
        <w:rPr>
          <w:rFonts w:hint="eastAsia" w:ascii="Times New Roman" w:hAnsi="Times New Roman" w:eastAsia="仿宋_GB2312" w:cs="Times New Roman"/>
          <w:sz w:val="32"/>
          <w:szCs w:val="24"/>
        </w:rPr>
        <w:t>前,</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（四）挂牌出让宗地规划条件控制文本及规划图；</w:t>
      </w:r>
    </w:p>
    <w:p w14:paraId="18F62795">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（六）出让地块审批图；</w:t>
      </w:r>
    </w:p>
    <w:p w14:paraId="1359225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60" w:lineRule="exact"/>
        <w:ind w:firstLine="576" w:firstLineChars="18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 (咨询电话：6393488)。也可向黄石市自然资源和规划局开发区·铁山区分局及开发区·铁山区公共资源交易中心申请组织现场踏勘。</w:t>
      </w:r>
    </w:p>
    <w:p w14:paraId="1E0106D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十、本次挂牌出让活动有关时间具体如下：</w:t>
      </w:r>
    </w:p>
    <w:p w14:paraId="26ABF9C5">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1、挂牌起始时间：2026年1月15日上午10时；</w:t>
      </w:r>
    </w:p>
    <w:p w14:paraId="24D9DB1F">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2、挂牌截止时间：2026年1月26日上午10时。</w:t>
      </w:r>
    </w:p>
    <w:p w14:paraId="3F120E67">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（二）在挂牌期内，有意竞买者通过注册申请并缴纳竞买保证金至指定账户后，取得竞买资格；</w:t>
      </w:r>
    </w:p>
    <w:p w14:paraId="0D8F6CD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（三）竞买人在挂牌期内参与竞买，报价经系统确认无误后即显示为当前报价；</w:t>
      </w:r>
    </w:p>
    <w:p w14:paraId="6E3E84A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（五）出让结果公布</w:t>
      </w:r>
    </w:p>
    <w:p w14:paraId="57F7CC2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pStyle w:val="4"/>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cs="Times New Roman"/>
          <w:szCs w:val="24"/>
        </w:rPr>
      </w:pPr>
      <w:r>
        <w:rPr>
          <w:rFonts w:hint="eastAsia" w:ascii="Times New Roman" w:hAnsi="Times New Roman" w:cs="Times New Roman"/>
          <w:szCs w:val="24"/>
        </w:rPr>
        <w:t>（一）</w:t>
      </w:r>
      <w:r>
        <w:rPr>
          <w:rFonts w:ascii="Times New Roman" w:hAnsi="Times New Roman" w:cs="Times New Roman"/>
          <w:szCs w:val="24"/>
        </w:rPr>
        <w:t>宗地的竞买保证金为：</w:t>
      </w:r>
    </w:p>
    <w:p w14:paraId="056ED9A9">
      <w:pPr>
        <w:pStyle w:val="4"/>
        <w:keepNext w:val="0"/>
        <w:keepLines w:val="0"/>
        <w:pageBreakBefore w:val="0"/>
        <w:widowControl w:val="0"/>
        <w:kinsoku/>
        <w:wordWrap/>
        <w:overflowPunct/>
        <w:autoSpaceDE/>
        <w:autoSpaceDN/>
        <w:bidi w:val="0"/>
        <w:adjustRightInd/>
        <w:spacing w:line="560" w:lineRule="exact"/>
        <w:rPr>
          <w:rFonts w:hint="eastAsia" w:ascii="Times New Roman" w:hAnsi="Times New Roman" w:cs="Times New Roman"/>
          <w:szCs w:val="24"/>
          <w:lang w:eastAsia="zh-CN"/>
        </w:rPr>
      </w:pPr>
      <w:r>
        <w:rPr>
          <w:rFonts w:hint="eastAsia" w:ascii="仿宋_GB2312" w:hAnsi="仿宋_GB2312" w:eastAsia="仿宋_GB2312" w:cs="仿宋_GB2312"/>
          <w:kern w:val="2"/>
          <w:sz w:val="32"/>
          <w:szCs w:val="22"/>
          <w:lang w:val="en-US" w:eastAsia="zh-CN" w:bidi="ar-SA"/>
        </w:rPr>
        <w:t>HG2503</w:t>
      </w:r>
      <w:r>
        <w:rPr>
          <w:rFonts w:hint="eastAsia" w:hAnsi="仿宋_GB2312" w:cs="仿宋_GB2312"/>
          <w:kern w:val="2"/>
          <w:sz w:val="32"/>
          <w:szCs w:val="22"/>
          <w:lang w:val="en-US" w:eastAsia="zh-CN" w:bidi="ar-SA"/>
        </w:rPr>
        <w:t>1</w:t>
      </w:r>
      <w:r>
        <w:rPr>
          <w:rFonts w:hint="eastAsia" w:ascii="仿宋_GB2312" w:hAnsi="仿宋_GB2312" w:eastAsia="仿宋_GB2312" w:cs="仿宋_GB2312"/>
          <w:kern w:val="2"/>
          <w:sz w:val="32"/>
          <w:szCs w:val="22"/>
          <w:lang w:val="en-US" w:eastAsia="zh-CN" w:bidi="ar-SA"/>
        </w:rPr>
        <w:t>号地块为人民币大写柒佰陆拾玖万元整（￥：7690000元）；</w:t>
      </w:r>
    </w:p>
    <w:p w14:paraId="66BF17DC">
      <w:pPr>
        <w:pStyle w:val="4"/>
        <w:keepNext w:val="0"/>
        <w:keepLines w:val="0"/>
        <w:pageBreakBefore w:val="0"/>
        <w:widowControl w:val="0"/>
        <w:kinsoku/>
        <w:wordWrap/>
        <w:overflowPunct/>
        <w:autoSpaceDE/>
        <w:autoSpaceDN/>
        <w:bidi w:val="0"/>
        <w:adjustRightInd/>
        <w:spacing w:line="560" w:lineRule="exact"/>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rPr>
        <w:t>二</w:t>
      </w:r>
      <w:r>
        <w:rPr>
          <w:rFonts w:hint="eastAsia" w:ascii="Times New Roman" w:hAnsi="Times New Roman" w:cs="Times New Roman"/>
          <w:szCs w:val="24"/>
          <w:lang w:eastAsia="zh-CN"/>
        </w:rPr>
        <w:t>）</w:t>
      </w:r>
      <w:r>
        <w:rPr>
          <w:rFonts w:hint="eastAsia" w:ascii="Times New Roman" w:hAnsi="Times New Roman" w:cs="Times New Roman"/>
          <w:szCs w:val="24"/>
        </w:rPr>
        <w:t xml:space="preserve">宗地的出让起始价、增价幅度 </w:t>
      </w:r>
    </w:p>
    <w:p w14:paraId="6633358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HG2503</w:t>
      </w:r>
      <w:r>
        <w:rPr>
          <w:rFonts w:hint="eastAsia" w:ascii="仿宋_GB2312" w:hAnsi="仿宋_GB2312" w:eastAsia="仿宋_GB2312" w:cs="仿宋_GB2312"/>
          <w:sz w:val="32"/>
          <w:szCs w:val="22"/>
          <w:lang w:val="en-US" w:eastAsia="zh-CN"/>
        </w:rPr>
        <w:t>1</w:t>
      </w:r>
      <w:r>
        <w:rPr>
          <w:rFonts w:hint="eastAsia" w:ascii="仿宋_GB2312" w:hAnsi="仿宋_GB2312" w:eastAsia="仿宋_GB2312" w:cs="仿宋_GB2312"/>
          <w:sz w:val="32"/>
          <w:szCs w:val="22"/>
        </w:rPr>
        <w:t>号地块：出让起始价为人民币大写</w:t>
      </w:r>
      <w:r>
        <w:rPr>
          <w:rFonts w:hint="eastAsia" w:ascii="仿宋_GB2312" w:hAnsi="仿宋_GB2312" w:eastAsia="仿宋_GB2312" w:cs="仿宋_GB2312"/>
          <w:kern w:val="2"/>
          <w:sz w:val="32"/>
          <w:szCs w:val="22"/>
          <w:lang w:val="en-US" w:eastAsia="zh-CN" w:bidi="ar-SA"/>
        </w:rPr>
        <w:t>壹仟伍佰叁拾捌万元整（￥：15380000元）</w:t>
      </w:r>
      <w:r>
        <w:rPr>
          <w:rFonts w:hint="eastAsia" w:ascii="仿宋_GB2312" w:hAnsi="仿宋_GB2312" w:eastAsia="仿宋_GB2312" w:cs="仿宋_GB2312"/>
          <w:sz w:val="32"/>
          <w:szCs w:val="22"/>
        </w:rPr>
        <w:t>；</w:t>
      </w:r>
    </w:p>
    <w:p w14:paraId="2760E87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增价幅度均为人民币大写壹拾万元或壹拾万元的整倍数。</w:t>
      </w:r>
    </w:p>
    <w:p w14:paraId="5F3396F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三</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初次报价不得低于起始价，初次报价后的每次报价应当比当前最高报价递增一个加价幅度，加价幅度不得小于本须知规定的增价幅度。</w:t>
      </w:r>
    </w:p>
    <w:p w14:paraId="5263474A">
      <w:pPr>
        <w:keepNext w:val="0"/>
        <w:keepLines w:val="0"/>
        <w:pageBreakBefore w:val="0"/>
        <w:widowControl w:val="0"/>
        <w:kinsoku/>
        <w:wordWrap/>
        <w:overflowPunct/>
        <w:autoSpaceDE/>
        <w:autoSpaceDN/>
        <w:bidi w:val="0"/>
        <w:adjustRightInd/>
        <w:spacing w:line="560" w:lineRule="exact"/>
        <w:ind w:firstLine="480" w:firstLineChars="15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 xml:space="preserve"> </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四</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在报价期间，竞买人可多次报价。</w:t>
      </w:r>
    </w:p>
    <w:p w14:paraId="6165072C">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五</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竞买人通过系统提交的报价一经报出，不得撤回。</w:t>
      </w:r>
    </w:p>
    <w:p w14:paraId="5A0DD649">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六</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竞买人报价有下列情形之一的，为无效报价：</w:t>
      </w:r>
    </w:p>
    <w:p w14:paraId="09C9500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1、报价因竞买人网络故障未在挂牌报价期限内报价的；</w:t>
      </w:r>
    </w:p>
    <w:p w14:paraId="234E6923">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2、报价不符合报价规则的；</w:t>
      </w:r>
    </w:p>
    <w:p w14:paraId="3A4BA811">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3、报价与竞买文件不符的；</w:t>
      </w:r>
    </w:p>
    <w:p w14:paraId="3349F26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4、报价不符合挂牌文件规定的其他情形的。</w:t>
      </w:r>
    </w:p>
    <w:p w14:paraId="667D2E85">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十三、注意事项</w:t>
      </w:r>
    </w:p>
    <w:p w14:paraId="095FAD6B">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（一）申请人须全面阅读有关出让文件，如有疑问可以在出让活动开始日以前用书面或口头方式向</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（二）申请人竞得土地后，拟成立新公司进行开发建设的，应在申请书中明确新公司的出资构成、成立时间等内容。</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ascii="Times New Roman" w:hAnsi="Times New Roman" w:eastAsia="仿宋_GB2312" w:cs="Times New Roman"/>
          <w:sz w:val="32"/>
          <w:szCs w:val="24"/>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w:t>
      </w:r>
      <w:r>
        <w:rPr>
          <w:rFonts w:hint="eastAsia" w:ascii="Times New Roman" w:hAnsi="Times New Roman" w:eastAsia="仿宋_GB2312" w:cs="Times New Roman"/>
          <w:sz w:val="32"/>
          <w:szCs w:val="24"/>
        </w:rPr>
        <w:t>黄石市自然资源和规划局开发区·铁山区分局</w:t>
      </w:r>
      <w:r>
        <w:rPr>
          <w:rFonts w:ascii="Times New Roman" w:hAnsi="Times New Roman" w:eastAsia="仿宋_GB2312" w:cs="Times New Roman"/>
          <w:sz w:val="32"/>
          <w:szCs w:val="24"/>
        </w:rPr>
        <w:t>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autoSpaceDE/>
        <w:autoSpaceDN/>
        <w:bidi w:val="0"/>
        <w:adjustRightInd/>
        <w:spacing w:line="560" w:lineRule="exact"/>
        <w:ind w:firstLine="640" w:firstLineChars="200"/>
        <w:rPr>
          <w:rFonts w:ascii="仿宋_GB2312" w:hAnsi="仿宋_GB2312" w:eastAsia="仿宋_GB2312" w:cs="仿宋_GB2312"/>
          <w:sz w:val="32"/>
        </w:rPr>
      </w:pPr>
      <w:r>
        <w:rPr>
          <w:rFonts w:hint="eastAsia" w:ascii="仿宋_GB2312" w:hAnsi="仿宋_GB2312" w:eastAsia="仿宋_GB2312" w:cs="仿宋_GB2312"/>
          <w:sz w:val="32"/>
        </w:rPr>
        <w:t>（三）本次公开出让地块均设有出让底价，在公开出让活动结束前须严格保密。</w:t>
      </w:r>
    </w:p>
    <w:p w14:paraId="379F764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四</w:t>
      </w: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竞买报价一经提交，不可撤回。</w:t>
      </w:r>
    </w:p>
    <w:p w14:paraId="03C6498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五</w:t>
      </w:r>
      <w:r>
        <w:rPr>
          <w:rFonts w:ascii="Times New Roman" w:hAnsi="Times New Roman" w:eastAsia="仿宋_GB2312" w:cs="Times New Roman"/>
          <w:sz w:val="32"/>
          <w:szCs w:val="24"/>
        </w:rPr>
        <w:t>）确定竞得人后，竞得人与</w:t>
      </w:r>
      <w:r>
        <w:rPr>
          <w:rFonts w:hint="eastAsia" w:ascii="Times New Roman" w:hAnsi="Times New Roman" w:eastAsia="仿宋_GB2312" w:cs="Times New Roman"/>
          <w:sz w:val="32"/>
          <w:szCs w:val="24"/>
        </w:rPr>
        <w:t>挂牌</w:t>
      </w:r>
      <w:r>
        <w:rPr>
          <w:rFonts w:ascii="Times New Roman" w:hAnsi="Times New Roman" w:eastAsia="仿宋_GB2312" w:cs="Times New Roman"/>
          <w:sz w:val="32"/>
          <w:szCs w:val="24"/>
        </w:rPr>
        <w:t>人签订《成交确认书》。委托他人代签的，应提交法定代表人亲笔签名并盖章的授权委托书。《成交确认书》对出让人和竞得人具有法律效力，出让人改变</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出让结果的，或者竞得人放弃竞得宗地的，应当承担法律责任。</w:t>
      </w:r>
    </w:p>
    <w:p w14:paraId="3DB41FD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六</w:t>
      </w:r>
      <w:r>
        <w:rPr>
          <w:rFonts w:ascii="Times New Roman" w:hAnsi="Times New Roman" w:eastAsia="仿宋_GB2312" w:cs="Times New Roman"/>
          <w:sz w:val="32"/>
          <w:szCs w:val="24"/>
        </w:rPr>
        <w:t>）竞得人交纳的竞买保证金，出让成交后</w:t>
      </w:r>
      <w:r>
        <w:rPr>
          <w:rFonts w:hint="eastAsia" w:ascii="Times New Roman" w:hAnsi="Times New Roman" w:eastAsia="仿宋_GB2312" w:cs="Times New Roman"/>
          <w:sz w:val="32"/>
          <w:szCs w:val="24"/>
        </w:rPr>
        <w:t>3个工作日内办理了</w:t>
      </w:r>
      <w:r>
        <w:rPr>
          <w:rFonts w:ascii="Times New Roman" w:hAnsi="Times New Roman" w:eastAsia="仿宋_GB2312" w:cs="Times New Roman"/>
          <w:sz w:val="32"/>
          <w:szCs w:val="24"/>
        </w:rPr>
        <w:t>《成交确认书》</w:t>
      </w:r>
      <w:r>
        <w:rPr>
          <w:rFonts w:hint="eastAsia" w:ascii="Times New Roman" w:hAnsi="Times New Roman" w:eastAsia="仿宋_GB2312" w:cs="Times New Roman"/>
          <w:sz w:val="32"/>
          <w:szCs w:val="24"/>
        </w:rPr>
        <w:t>的，</w:t>
      </w:r>
      <w:r>
        <w:rPr>
          <w:rFonts w:ascii="Times New Roman" w:hAnsi="Times New Roman" w:eastAsia="仿宋_GB2312" w:cs="Times New Roman"/>
          <w:sz w:val="32"/>
          <w:szCs w:val="24"/>
        </w:rPr>
        <w:t>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七</w:t>
      </w:r>
      <w:r>
        <w:rPr>
          <w:rFonts w:ascii="Times New Roman" w:hAnsi="Times New Roman" w:eastAsia="仿宋_GB2312" w:cs="Times New Roman"/>
          <w:sz w:val="32"/>
          <w:szCs w:val="24"/>
        </w:rPr>
        <w:t>）竞得人与出让人签订《国有建设用地使用权出让合同》后，应当按出让合同约定支付出让成交价款。竞得人付清全部出让成交价款后，依法申请办理土地登记</w:t>
      </w:r>
      <w:r>
        <w:rPr>
          <w:rFonts w:hint="eastAsia" w:ascii="Times New Roman" w:hAnsi="Times New Roman" w:eastAsia="仿宋_GB2312" w:cs="Times New Roman"/>
          <w:sz w:val="32"/>
          <w:szCs w:val="24"/>
        </w:rPr>
        <w:t>手续。</w:t>
      </w:r>
    </w:p>
    <w:p w14:paraId="15514AB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（八）挂牌期满，网上挂牌出让成交确认系统根据下列条件自动确定竞得人：</w:t>
      </w:r>
    </w:p>
    <w:p w14:paraId="09372ACC">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1、在挂牌期限内，只有一个竞买人报价，且报价等于或高于底价，挂牌成交；</w:t>
      </w:r>
    </w:p>
    <w:p w14:paraId="7C1195E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2、在挂牌期限内，有两个或者两个以上竞买人报价的，报价等于或高于底价，且出价最高者为竞得人；</w:t>
      </w:r>
    </w:p>
    <w:p w14:paraId="4B44A7C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3、在挂牌期限内，无应价者或竞买人的报价均低于底价的，挂牌不成交；</w:t>
      </w:r>
    </w:p>
    <w:p w14:paraId="7718217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4、在挂牌期限截止前10分钟，竞买人必须在挂牌报价期间最少有一次报价，才能进入最后的限时报价；</w:t>
      </w:r>
    </w:p>
    <w:p w14:paraId="1782B25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7、本次公开出让地块均设有出让底价，在公开出让活动结束前须严格保密。</w:t>
      </w:r>
    </w:p>
    <w:p w14:paraId="5D5CA79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九</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有下列情形之一的，开发区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铁山区公共资源交易中心将中（终）止挂牌活动：</w:t>
      </w:r>
    </w:p>
    <w:p w14:paraId="3722EE14">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2、竞买人串通损害国家利益、社会利益或他人合法权益的；</w:t>
      </w:r>
    </w:p>
    <w:p w14:paraId="076AA853">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3、出让工作人员私下接触竞买人，足以影响公开出让公正性的；</w:t>
      </w:r>
    </w:p>
    <w:p w14:paraId="0E07130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4、应当依法中（终）止公开出让活动的其他情形。</w:t>
      </w:r>
    </w:p>
    <w:p w14:paraId="42F91EA0">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竞得人有下列行为的视为违约，视为违约，挂牌人可取消其竞得人资格，竞买保证金不予退还：</w:t>
      </w:r>
    </w:p>
    <w:p w14:paraId="4AAC19B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1、竞得人逾期或拒绝签订《成交确认书》的；</w:t>
      </w:r>
    </w:p>
    <w:p w14:paraId="474AF5B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2、竞得人逾期或拒绝签订《国有建设用地使用权出让合同》的；</w:t>
      </w:r>
    </w:p>
    <w:p w14:paraId="3842B4A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十一</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60" w:lineRule="exact"/>
        <w:ind w:left="160" w:leftChars="76" w:firstLine="480" w:firstLineChars="15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60" w:lineRule="exact"/>
        <w:ind w:firstLine="320" w:firstLineChars="100"/>
        <w:jc w:val="both"/>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60" w:lineRule="exact"/>
        <w:ind w:firstLine="320" w:firstLineChars="1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p>
    <w:p w14:paraId="4F7AD705">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202</w:t>
      </w:r>
      <w:r>
        <w:rPr>
          <w:rFonts w:hint="eastAsia" w:ascii="仿宋_GB2312" w:hAnsi="仿宋_GB2312" w:eastAsia="仿宋_GB2312" w:cs="仿宋_GB2312"/>
          <w:sz w:val="32"/>
          <w:szCs w:val="24"/>
          <w:lang w:val="en-US" w:eastAsia="zh-CN"/>
        </w:rPr>
        <w:t>5</w:t>
      </w:r>
      <w:r>
        <w:rPr>
          <w:rFonts w:hint="eastAsia" w:ascii="仿宋_GB2312" w:hAnsi="仿宋_GB2312" w:eastAsia="仿宋_GB2312" w:cs="仿宋_GB2312"/>
          <w:sz w:val="32"/>
          <w:szCs w:val="24"/>
        </w:rPr>
        <w:t>年</w:t>
      </w:r>
      <w:r>
        <w:rPr>
          <w:rFonts w:hint="eastAsia" w:ascii="仿宋_GB2312" w:hAnsi="仿宋_GB2312" w:eastAsia="仿宋_GB2312" w:cs="仿宋_GB2312"/>
          <w:sz w:val="32"/>
          <w:szCs w:val="24"/>
          <w:lang w:val="en-US" w:eastAsia="zh-CN"/>
        </w:rPr>
        <w:t>12</w:t>
      </w:r>
      <w:r>
        <w:rPr>
          <w:rFonts w:hint="eastAsia" w:ascii="仿宋_GB2312" w:hAnsi="仿宋_GB2312" w:eastAsia="仿宋_GB2312" w:cs="仿宋_GB2312"/>
          <w:sz w:val="32"/>
          <w:szCs w:val="24"/>
        </w:rPr>
        <w:t>月</w:t>
      </w:r>
      <w:r>
        <w:rPr>
          <w:rFonts w:hint="eastAsia" w:ascii="仿宋_GB2312" w:hAnsi="仿宋_GB2312" w:eastAsia="仿宋_GB2312" w:cs="仿宋_GB2312"/>
          <w:sz w:val="32"/>
          <w:szCs w:val="24"/>
          <w:lang w:val="en-US" w:eastAsia="zh-CN"/>
        </w:rPr>
        <w:t>26</w:t>
      </w:r>
      <w:r>
        <w:rPr>
          <w:rFonts w:hint="eastAsia" w:ascii="仿宋_GB2312" w:hAnsi="仿宋_GB2312" w:eastAsia="仿宋_GB2312" w:cs="仿宋_GB2312"/>
          <w:sz w:val="32"/>
          <w:szCs w:val="24"/>
        </w:rPr>
        <w:t>日</w:t>
      </w:r>
    </w:p>
    <w:p w14:paraId="50FE72C8">
      <w:pPr>
        <w:rPr>
          <w:rFonts w:ascii="Times New Roman" w:hAnsi="Times New Roman" w:eastAsia="仿宋_GB2312" w:cs="Times New Roman"/>
          <w:sz w:val="32"/>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FC699D"/>
    <w:rsid w:val="1D144419"/>
    <w:rsid w:val="1F0B1E70"/>
    <w:rsid w:val="21A34113"/>
    <w:rsid w:val="21D95D87"/>
    <w:rsid w:val="233419C8"/>
    <w:rsid w:val="234D1F10"/>
    <w:rsid w:val="26E86B9F"/>
    <w:rsid w:val="273807F7"/>
    <w:rsid w:val="2A1E615D"/>
    <w:rsid w:val="2BD8775D"/>
    <w:rsid w:val="317A07B3"/>
    <w:rsid w:val="375F127B"/>
    <w:rsid w:val="381551E7"/>
    <w:rsid w:val="3966114F"/>
    <w:rsid w:val="40A67D91"/>
    <w:rsid w:val="43182221"/>
    <w:rsid w:val="44120C62"/>
    <w:rsid w:val="49C268F4"/>
    <w:rsid w:val="4DAC59AE"/>
    <w:rsid w:val="517A638F"/>
    <w:rsid w:val="540E62EE"/>
    <w:rsid w:val="541A79B6"/>
    <w:rsid w:val="54C87412"/>
    <w:rsid w:val="5A1804F3"/>
    <w:rsid w:val="5B3203DE"/>
    <w:rsid w:val="5C86208C"/>
    <w:rsid w:val="5D1A51E2"/>
    <w:rsid w:val="60A35F5F"/>
    <w:rsid w:val="60A94DEF"/>
    <w:rsid w:val="661E1587"/>
    <w:rsid w:val="6703077D"/>
    <w:rsid w:val="672F3320"/>
    <w:rsid w:val="68E11452"/>
    <w:rsid w:val="6A184540"/>
    <w:rsid w:val="6AD828AA"/>
    <w:rsid w:val="6C430463"/>
    <w:rsid w:val="7491538B"/>
    <w:rsid w:val="75E749C9"/>
    <w:rsid w:val="766906C3"/>
    <w:rsid w:val="78267E28"/>
    <w:rsid w:val="79580ABF"/>
    <w:rsid w:val="79BF0551"/>
    <w:rsid w:val="7AC126DF"/>
    <w:rsid w:val="7F480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5291</Words>
  <Characters>5504</Characters>
  <Lines>47</Lines>
  <Paragraphs>13</Paragraphs>
  <TotalTime>54</TotalTime>
  <ScaleCrop>false</ScaleCrop>
  <LinksUpToDate>false</LinksUpToDate>
  <CharactersWithSpaces>5514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2025-12-25T03:10:12Z</cp:lastPrinted>
  <dcterms:modified xsi:type="dcterms:W3CDTF">2025-12-25T03:14:34Z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2052-12.1.0.24034</vt:lpwstr>
  </property>
  <property fmtid="{D5CDD505-2E9C-101B-9397-08002B2CF9AE}" pid="4" name="ICV">
    <vt:lpwstr>DE9A2EE126AA466697018884DA6F4EAD_13</vt:lpwstr>
  </property>
</Properties>
</file>