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60" w:lineRule="exact"/>
        <w:ind w:firstLine="1100" w:firstLineChars="250"/>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60" w:lineRule="exact"/>
        <w:jc w:val="center"/>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04</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60" w:lineRule="exact"/>
        <w:jc w:val="center"/>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3</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A5F9659">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pStyle w:val="2"/>
        <w:keepNext w:val="0"/>
        <w:keepLines w:val="0"/>
        <w:pageBreakBefore w:val="0"/>
        <w:widowControl w:val="0"/>
        <w:kinsoku/>
        <w:wordWrap/>
        <w:overflowPunct/>
        <w:topLinePunct w:val="0"/>
        <w:autoSpaceDE/>
        <w:autoSpaceDN/>
        <w:bidi w:val="0"/>
        <w:adjustRightInd/>
        <w:snapToGrid/>
        <w:spacing w:line="560" w:lineRule="exact"/>
        <w:ind w:firstLine="320" w:firstLineChars="100"/>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509"/>
        <w:gridCol w:w="1125"/>
        <w:gridCol w:w="723"/>
        <w:gridCol w:w="691"/>
        <w:gridCol w:w="810"/>
        <w:gridCol w:w="617"/>
        <w:gridCol w:w="750"/>
        <w:gridCol w:w="714"/>
        <w:gridCol w:w="767"/>
      </w:tblGrid>
      <w:tr w14:paraId="6FE39C5B">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D32954">
            <w:pPr>
              <w:spacing w:line="220" w:lineRule="exact"/>
              <w:jc w:val="center"/>
              <w:rPr>
                <w:spacing w:val="-8"/>
                <w:sz w:val="18"/>
                <w:szCs w:val="18"/>
              </w:rPr>
            </w:pPr>
            <w:r>
              <w:rPr>
                <w:spacing w:val="-8"/>
                <w:sz w:val="18"/>
                <w:szCs w:val="18"/>
              </w:rPr>
              <w:t>地块</w:t>
            </w:r>
          </w:p>
          <w:p w14:paraId="16E5E3A9">
            <w:pPr>
              <w:spacing w:line="220" w:lineRule="exact"/>
              <w:jc w:val="center"/>
              <w:rPr>
                <w:rFonts w:hint="eastAsia"/>
              </w:rPr>
            </w:pPr>
            <w:r>
              <w:rPr>
                <w:spacing w:val="-8"/>
                <w:sz w:val="18"/>
                <w:szCs w:val="18"/>
              </w:rPr>
              <w:t>编号</w:t>
            </w:r>
          </w:p>
        </w:tc>
        <w:tc>
          <w:tcPr>
            <w:tcW w:w="1509"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6B3353D">
            <w:pPr>
              <w:spacing w:line="220" w:lineRule="exact"/>
              <w:jc w:val="center"/>
              <w:rPr>
                <w:spacing w:val="-8"/>
                <w:sz w:val="18"/>
                <w:szCs w:val="18"/>
              </w:rPr>
            </w:pPr>
            <w:r>
              <w:rPr>
                <w:spacing w:val="-8"/>
                <w:sz w:val="18"/>
                <w:szCs w:val="18"/>
              </w:rPr>
              <w:t>土地坐落</w:t>
            </w:r>
          </w:p>
        </w:tc>
        <w:tc>
          <w:tcPr>
            <w:tcW w:w="1125" w:type="dxa"/>
            <w:vMerge w:val="restart"/>
            <w:tcBorders>
              <w:top w:val="single" w:color="auto" w:sz="4" w:space="0"/>
              <w:left w:val="single" w:color="auto" w:sz="4" w:space="0"/>
              <w:right w:val="single" w:color="auto" w:sz="4" w:space="0"/>
            </w:tcBorders>
            <w:noWrap w:val="0"/>
            <w:vAlign w:val="center"/>
          </w:tcPr>
          <w:p w14:paraId="3D1650F6">
            <w:pPr>
              <w:spacing w:line="220" w:lineRule="exact"/>
              <w:jc w:val="center"/>
              <w:rPr>
                <w:sz w:val="18"/>
                <w:szCs w:val="18"/>
              </w:rPr>
            </w:pPr>
            <w:r>
              <w:rPr>
                <w:sz w:val="18"/>
                <w:szCs w:val="18"/>
              </w:rPr>
              <w:t>出让面积(㎡)</w:t>
            </w:r>
          </w:p>
        </w:tc>
        <w:tc>
          <w:tcPr>
            <w:tcW w:w="723"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FEDBBBD">
            <w:pPr>
              <w:spacing w:line="220" w:lineRule="exact"/>
              <w:jc w:val="center"/>
              <w:rPr>
                <w:sz w:val="18"/>
                <w:szCs w:val="18"/>
              </w:rPr>
            </w:pPr>
            <w:r>
              <w:rPr>
                <w:sz w:val="18"/>
                <w:szCs w:val="18"/>
              </w:rPr>
              <w:t>土地</w:t>
            </w:r>
          </w:p>
          <w:p w14:paraId="3608B234">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6F20449">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55105682">
            <w:pPr>
              <w:spacing w:line="220" w:lineRule="exact"/>
              <w:jc w:val="center"/>
              <w:rPr>
                <w:sz w:val="18"/>
                <w:szCs w:val="18"/>
              </w:rPr>
            </w:pPr>
            <w:r>
              <w:rPr>
                <w:sz w:val="18"/>
                <w:szCs w:val="18"/>
              </w:rPr>
              <w:t>出让</w:t>
            </w:r>
          </w:p>
          <w:p w14:paraId="7864A854">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4DCEBB6">
            <w:pPr>
              <w:spacing w:line="220" w:lineRule="exact"/>
              <w:jc w:val="center"/>
              <w:rPr>
                <w:sz w:val="18"/>
                <w:szCs w:val="18"/>
              </w:rPr>
            </w:pPr>
            <w:r>
              <w:rPr>
                <w:sz w:val="18"/>
                <w:szCs w:val="18"/>
              </w:rPr>
              <w:t>竞买</w:t>
            </w:r>
          </w:p>
          <w:p w14:paraId="0C6C03B6">
            <w:pPr>
              <w:spacing w:line="220" w:lineRule="exact"/>
              <w:jc w:val="center"/>
              <w:rPr>
                <w:sz w:val="18"/>
                <w:szCs w:val="18"/>
              </w:rPr>
            </w:pPr>
            <w:r>
              <w:rPr>
                <w:sz w:val="18"/>
                <w:szCs w:val="18"/>
              </w:rPr>
              <w:t>保证金</w:t>
            </w:r>
          </w:p>
          <w:p w14:paraId="008C254E">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B65EF3C">
            <w:pPr>
              <w:spacing w:line="220" w:lineRule="exact"/>
              <w:jc w:val="center"/>
              <w:rPr>
                <w:sz w:val="18"/>
                <w:szCs w:val="18"/>
              </w:rPr>
            </w:pPr>
            <w:r>
              <w:rPr>
                <w:sz w:val="18"/>
                <w:szCs w:val="18"/>
              </w:rPr>
              <w:t>挂牌</w:t>
            </w:r>
          </w:p>
          <w:p w14:paraId="55ED94AA">
            <w:pPr>
              <w:spacing w:line="220" w:lineRule="exact"/>
              <w:jc w:val="center"/>
              <w:rPr>
                <w:sz w:val="18"/>
                <w:szCs w:val="18"/>
              </w:rPr>
            </w:pPr>
            <w:r>
              <w:rPr>
                <w:sz w:val="18"/>
                <w:szCs w:val="18"/>
              </w:rPr>
              <w:t>起始价</w:t>
            </w:r>
          </w:p>
          <w:p w14:paraId="644F966C">
            <w:pPr>
              <w:spacing w:line="220" w:lineRule="exact"/>
              <w:jc w:val="center"/>
              <w:rPr>
                <w:sz w:val="18"/>
                <w:szCs w:val="18"/>
              </w:rPr>
            </w:pPr>
            <w:r>
              <w:rPr>
                <w:sz w:val="18"/>
                <w:szCs w:val="18"/>
              </w:rPr>
              <w:t>(万元)</w:t>
            </w:r>
          </w:p>
        </w:tc>
      </w:tr>
      <w:tr w14:paraId="6EFAE2FF">
        <w:tblPrEx>
          <w:tblCellMar>
            <w:top w:w="0" w:type="dxa"/>
            <w:left w:w="0" w:type="dxa"/>
            <w:bottom w:w="0" w:type="dxa"/>
            <w:right w:w="0" w:type="dxa"/>
          </w:tblCellMar>
        </w:tblPrEx>
        <w:trPr>
          <w:cantSplit/>
          <w:trHeight w:val="59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62AEF214">
            <w:pPr>
              <w:widowControl/>
              <w:spacing w:line="220" w:lineRule="exact"/>
              <w:jc w:val="center"/>
              <w:rPr>
                <w:sz w:val="18"/>
                <w:szCs w:val="18"/>
              </w:rPr>
            </w:pPr>
          </w:p>
        </w:tc>
        <w:tc>
          <w:tcPr>
            <w:tcW w:w="1509" w:type="dxa"/>
            <w:vMerge w:val="continue"/>
            <w:tcBorders>
              <w:top w:val="single" w:color="auto" w:sz="4" w:space="0"/>
              <w:left w:val="nil"/>
              <w:bottom w:val="single" w:color="auto" w:sz="4" w:space="0"/>
              <w:right w:val="single" w:color="auto" w:sz="4" w:space="0"/>
            </w:tcBorders>
            <w:noWrap w:val="0"/>
            <w:vAlign w:val="center"/>
          </w:tcPr>
          <w:p w14:paraId="2575FE00">
            <w:pPr>
              <w:widowControl/>
              <w:spacing w:line="220" w:lineRule="exact"/>
              <w:jc w:val="left"/>
              <w:rPr>
                <w:sz w:val="18"/>
                <w:szCs w:val="18"/>
              </w:rPr>
            </w:pPr>
          </w:p>
        </w:tc>
        <w:tc>
          <w:tcPr>
            <w:tcW w:w="1125" w:type="dxa"/>
            <w:vMerge w:val="continue"/>
            <w:tcBorders>
              <w:left w:val="single" w:color="auto" w:sz="4" w:space="0"/>
              <w:bottom w:val="single" w:color="auto" w:sz="4" w:space="0"/>
              <w:right w:val="single" w:color="auto" w:sz="4" w:space="0"/>
            </w:tcBorders>
            <w:noWrap w:val="0"/>
            <w:vAlign w:val="center"/>
          </w:tcPr>
          <w:p w14:paraId="2C8C6B80">
            <w:pPr>
              <w:widowControl/>
              <w:spacing w:line="220" w:lineRule="exact"/>
              <w:jc w:val="center"/>
              <w:rPr>
                <w:sz w:val="18"/>
                <w:szCs w:val="18"/>
              </w:rPr>
            </w:pPr>
          </w:p>
        </w:tc>
        <w:tc>
          <w:tcPr>
            <w:tcW w:w="723" w:type="dxa"/>
            <w:vMerge w:val="continue"/>
            <w:tcBorders>
              <w:top w:val="single" w:color="auto" w:sz="4" w:space="0"/>
              <w:left w:val="single" w:color="auto" w:sz="4" w:space="0"/>
              <w:bottom w:val="single" w:color="auto" w:sz="4" w:space="0"/>
              <w:right w:val="single" w:color="auto" w:sz="4" w:space="0"/>
            </w:tcBorders>
            <w:noWrap w:val="0"/>
            <w:vAlign w:val="center"/>
          </w:tcPr>
          <w:p w14:paraId="0CBAD999">
            <w:pPr>
              <w:widowControl/>
              <w:spacing w:line="220" w:lineRule="exact"/>
              <w:jc w:val="left"/>
              <w:rPr>
                <w:sz w:val="18"/>
                <w:szCs w:val="18"/>
              </w:rPr>
            </w:pPr>
          </w:p>
        </w:tc>
        <w:tc>
          <w:tcPr>
            <w:tcW w:w="691"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768F4953">
            <w:pPr>
              <w:spacing w:line="220" w:lineRule="exact"/>
              <w:jc w:val="center"/>
              <w:rPr>
                <w:sz w:val="18"/>
                <w:szCs w:val="18"/>
              </w:rPr>
            </w:pPr>
            <w:r>
              <w:rPr>
                <w:sz w:val="18"/>
                <w:szCs w:val="18"/>
              </w:rPr>
              <w:t>容积率</w:t>
            </w:r>
          </w:p>
        </w:tc>
        <w:tc>
          <w:tcPr>
            <w:tcW w:w="810"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26DE6988">
            <w:pPr>
              <w:spacing w:line="220" w:lineRule="exact"/>
              <w:ind w:firstLine="90" w:firstLineChars="50"/>
              <w:rPr>
                <w:sz w:val="18"/>
                <w:szCs w:val="18"/>
              </w:rPr>
            </w:pPr>
            <w:r>
              <w:rPr>
                <w:sz w:val="18"/>
                <w:szCs w:val="18"/>
              </w:rPr>
              <w:t>建筑</w:t>
            </w:r>
          </w:p>
          <w:p w14:paraId="3DD882C5">
            <w:pPr>
              <w:spacing w:line="220" w:lineRule="exact"/>
              <w:jc w:val="center"/>
              <w:rPr>
                <w:sz w:val="18"/>
                <w:szCs w:val="18"/>
              </w:rPr>
            </w:pPr>
            <w:r>
              <w:rPr>
                <w:sz w:val="18"/>
                <w:szCs w:val="18"/>
              </w:rPr>
              <w:t>密度(%)</w:t>
            </w:r>
          </w:p>
        </w:tc>
        <w:tc>
          <w:tcPr>
            <w:tcW w:w="617"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F1842EF">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78472482">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2FC37BDE">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63B7879B">
            <w:pPr>
              <w:widowControl/>
              <w:spacing w:line="220" w:lineRule="exact"/>
              <w:jc w:val="left"/>
              <w:rPr>
                <w:sz w:val="18"/>
                <w:szCs w:val="18"/>
              </w:rPr>
            </w:pPr>
          </w:p>
        </w:tc>
      </w:tr>
      <w:tr w14:paraId="125356A8">
        <w:tblPrEx>
          <w:tblCellMar>
            <w:top w:w="0" w:type="dxa"/>
            <w:left w:w="0" w:type="dxa"/>
            <w:bottom w:w="0" w:type="dxa"/>
            <w:right w:w="0" w:type="dxa"/>
          </w:tblCellMar>
        </w:tblPrEx>
        <w:trPr>
          <w:cantSplit/>
          <w:trHeight w:val="732"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46AB386A">
            <w:pPr>
              <w:spacing w:line="220" w:lineRule="exact"/>
              <w:jc w:val="center"/>
              <w:rPr>
                <w:rFonts w:hint="eastAsia"/>
                <w:spacing w:val="-8"/>
                <w:sz w:val="18"/>
                <w:szCs w:val="18"/>
                <w:lang w:val="en-US" w:eastAsia="zh-CN"/>
              </w:rPr>
            </w:pPr>
            <w:r>
              <w:rPr>
                <w:rFonts w:hint="eastAsia"/>
                <w:spacing w:val="-8"/>
                <w:sz w:val="18"/>
                <w:szCs w:val="18"/>
              </w:rPr>
              <w:t>HG2</w:t>
            </w:r>
            <w:r>
              <w:rPr>
                <w:spacing w:val="-8"/>
                <w:sz w:val="18"/>
                <w:szCs w:val="18"/>
              </w:rPr>
              <w:t>6004</w:t>
            </w:r>
          </w:p>
        </w:tc>
        <w:tc>
          <w:tcPr>
            <w:tcW w:w="1509" w:type="dxa"/>
            <w:tcBorders>
              <w:top w:val="single" w:color="auto" w:sz="4" w:space="0"/>
              <w:left w:val="single" w:color="auto" w:sz="4" w:space="0"/>
              <w:bottom w:val="single" w:color="auto" w:sz="4" w:space="0"/>
              <w:right w:val="single" w:color="auto" w:sz="4" w:space="0"/>
            </w:tcBorders>
            <w:noWrap w:val="0"/>
            <w:vAlign w:val="bottom"/>
          </w:tcPr>
          <w:p w14:paraId="15375659">
            <w:pPr>
              <w:spacing w:line="220" w:lineRule="exact"/>
              <w:jc w:val="center"/>
              <w:rPr>
                <w:rFonts w:hint="eastAsia"/>
                <w:spacing w:val="-8"/>
                <w:sz w:val="18"/>
                <w:szCs w:val="18"/>
                <w:lang w:val="en-US" w:eastAsia="zh-CN"/>
              </w:rPr>
            </w:pPr>
            <w:r>
              <w:rPr>
                <w:rFonts w:hint="eastAsia"/>
                <w:spacing w:val="-8"/>
                <w:sz w:val="18"/>
                <w:szCs w:val="18"/>
              </w:rPr>
              <w:t>王叶一路以西九创电子以东创大智能以北地块</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9E4CD06">
            <w:pPr>
              <w:spacing w:line="220" w:lineRule="exact"/>
              <w:jc w:val="center"/>
              <w:rPr>
                <w:rFonts w:hint="eastAsia"/>
                <w:spacing w:val="-8"/>
                <w:sz w:val="18"/>
                <w:szCs w:val="18"/>
                <w:lang w:val="en-US" w:eastAsia="zh-CN"/>
              </w:rPr>
            </w:pPr>
            <w:r>
              <w:rPr>
                <w:spacing w:val="-8"/>
                <w:sz w:val="18"/>
                <w:szCs w:val="18"/>
              </w:rPr>
              <w:t>12120.19</w:t>
            </w:r>
          </w:p>
        </w:tc>
        <w:tc>
          <w:tcPr>
            <w:tcW w:w="723" w:type="dxa"/>
            <w:tcBorders>
              <w:top w:val="single" w:color="auto" w:sz="4" w:space="0"/>
              <w:left w:val="single" w:color="auto" w:sz="4" w:space="0"/>
              <w:bottom w:val="single" w:color="auto" w:sz="4" w:space="0"/>
              <w:right w:val="single" w:color="auto" w:sz="4" w:space="0"/>
            </w:tcBorders>
            <w:noWrap w:val="0"/>
            <w:vAlign w:val="center"/>
          </w:tcPr>
          <w:p w14:paraId="2D75F064">
            <w:pPr>
              <w:spacing w:line="220" w:lineRule="exact"/>
              <w:jc w:val="center"/>
              <w:rPr>
                <w:rFonts w:hint="eastAsia"/>
                <w:spacing w:val="-8"/>
                <w:sz w:val="18"/>
                <w:szCs w:val="18"/>
                <w:lang w:val="en-US" w:eastAsia="zh-CN"/>
              </w:rPr>
            </w:pPr>
            <w:r>
              <w:rPr>
                <w:rFonts w:hint="eastAsia"/>
                <w:spacing w:val="-8"/>
                <w:sz w:val="18"/>
                <w:szCs w:val="18"/>
              </w:rPr>
              <w:t>工业用地</w:t>
            </w:r>
          </w:p>
        </w:tc>
        <w:tc>
          <w:tcPr>
            <w:tcW w:w="69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5FD3956">
            <w:pPr>
              <w:spacing w:line="220" w:lineRule="exact"/>
              <w:jc w:val="center"/>
              <w:rPr>
                <w:rFonts w:hint="eastAsia"/>
                <w:spacing w:val="-8"/>
                <w:sz w:val="18"/>
                <w:szCs w:val="18"/>
                <w:lang w:val="en-US" w:eastAsia="zh-CN"/>
              </w:rPr>
            </w:pPr>
            <w:r>
              <w:rPr>
                <w:rFonts w:hint="eastAsia"/>
                <w:spacing w:val="-8"/>
                <w:sz w:val="18"/>
                <w:szCs w:val="18"/>
              </w:rPr>
              <w:t>≥1.</w:t>
            </w:r>
            <w:r>
              <w:rPr>
                <w:spacing w:val="-8"/>
                <w:sz w:val="18"/>
                <w:szCs w:val="18"/>
              </w:rPr>
              <w:t>0</w:t>
            </w:r>
          </w:p>
        </w:tc>
        <w:tc>
          <w:tcPr>
            <w:tcW w:w="81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E03F2E">
            <w:pPr>
              <w:spacing w:line="220" w:lineRule="exact"/>
              <w:jc w:val="center"/>
              <w:rPr>
                <w:rFonts w:hint="eastAsia"/>
                <w:spacing w:val="-8"/>
                <w:sz w:val="18"/>
                <w:szCs w:val="18"/>
                <w:lang w:val="en-US" w:eastAsia="zh-CN"/>
              </w:rPr>
            </w:pPr>
            <w:r>
              <w:rPr>
                <w:rFonts w:hint="eastAsia"/>
                <w:spacing w:val="-8"/>
                <w:sz w:val="18"/>
                <w:szCs w:val="18"/>
              </w:rPr>
              <w:t>≥</w:t>
            </w:r>
            <w:r>
              <w:rPr>
                <w:spacing w:val="-8"/>
                <w:sz w:val="18"/>
                <w:szCs w:val="18"/>
              </w:rPr>
              <w:t>4</w:t>
            </w:r>
            <w:r>
              <w:rPr>
                <w:rFonts w:hint="eastAsia"/>
                <w:spacing w:val="-8"/>
                <w:sz w:val="18"/>
                <w:szCs w:val="18"/>
              </w:rPr>
              <w:t xml:space="preserve">0 </w:t>
            </w:r>
          </w:p>
        </w:tc>
        <w:tc>
          <w:tcPr>
            <w:tcW w:w="61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D58301">
            <w:pPr>
              <w:spacing w:line="220" w:lineRule="exact"/>
              <w:jc w:val="center"/>
              <w:rPr>
                <w:rFonts w:hint="eastAsia"/>
                <w:spacing w:val="-8"/>
                <w:sz w:val="18"/>
                <w:szCs w:val="18"/>
                <w:lang w:val="en-US" w:eastAsia="zh-CN"/>
              </w:rPr>
            </w:pPr>
            <w:r>
              <w:rPr>
                <w:rFonts w:hint="eastAsia"/>
                <w:spacing w:val="-8"/>
                <w:sz w:val="18"/>
                <w:szCs w:val="18"/>
              </w:rPr>
              <w:t>≤</w:t>
            </w:r>
            <w:r>
              <w:rPr>
                <w:spacing w:val="-8"/>
                <w:sz w:val="18"/>
                <w:szCs w:val="18"/>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5C0B00BD">
            <w:pPr>
              <w:spacing w:line="220" w:lineRule="exact"/>
              <w:jc w:val="center"/>
              <w:rPr>
                <w:rFonts w:hint="eastAsia"/>
                <w:spacing w:val="-8"/>
                <w:sz w:val="18"/>
                <w:szCs w:val="18"/>
                <w:lang w:val="en-US" w:eastAsia="zh-CN"/>
              </w:rPr>
            </w:pPr>
            <w:r>
              <w:rPr>
                <w:rFonts w:hint="eastAsia"/>
                <w:spacing w:val="-8"/>
                <w:sz w:val="18"/>
                <w:szCs w:val="18"/>
              </w:rPr>
              <w:t>工业</w:t>
            </w:r>
            <w:r>
              <w:rPr>
                <w:spacing w:val="-8"/>
                <w:sz w:val="18"/>
                <w:szCs w:val="18"/>
              </w:rPr>
              <w:t>5</w:t>
            </w:r>
            <w:r>
              <w:rPr>
                <w:rFonts w:hint="eastAsia"/>
                <w:spacing w:val="-8"/>
                <w:sz w:val="18"/>
                <w:szCs w:val="18"/>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3AA0DF6A">
            <w:pPr>
              <w:spacing w:line="220" w:lineRule="exact"/>
              <w:jc w:val="center"/>
              <w:rPr>
                <w:rFonts w:hint="eastAsia"/>
                <w:spacing w:val="-8"/>
                <w:sz w:val="18"/>
                <w:szCs w:val="18"/>
                <w:lang w:val="en-US" w:eastAsia="zh-CN"/>
              </w:rPr>
            </w:pPr>
            <w:r>
              <w:rPr>
                <w:spacing w:val="-8"/>
                <w:sz w:val="18"/>
                <w:szCs w:val="18"/>
              </w:rPr>
              <w:t>171</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6662C5EA">
            <w:pPr>
              <w:spacing w:line="220" w:lineRule="exact"/>
              <w:jc w:val="center"/>
              <w:rPr>
                <w:rFonts w:hint="eastAsia"/>
                <w:spacing w:val="-8"/>
                <w:sz w:val="18"/>
                <w:szCs w:val="18"/>
                <w:lang w:val="en-US" w:eastAsia="zh-CN"/>
              </w:rPr>
            </w:pPr>
            <w:r>
              <w:rPr>
                <w:spacing w:val="-8"/>
                <w:sz w:val="18"/>
                <w:szCs w:val="18"/>
              </w:rPr>
              <w:t>342</w:t>
            </w:r>
          </w:p>
        </w:tc>
      </w:tr>
      <w:tr w14:paraId="3A527AE1">
        <w:tblPrEx>
          <w:tblCellMar>
            <w:top w:w="0" w:type="dxa"/>
            <w:left w:w="0" w:type="dxa"/>
            <w:bottom w:w="0" w:type="dxa"/>
            <w:right w:w="0" w:type="dxa"/>
          </w:tblCellMar>
        </w:tblPrEx>
        <w:trPr>
          <w:cantSplit/>
          <w:trHeight w:val="732"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10A80EEF">
            <w:pPr>
              <w:spacing w:line="220" w:lineRule="exact"/>
              <w:jc w:val="center"/>
              <w:rPr>
                <w:rFonts w:hint="eastAsia"/>
                <w:spacing w:val="-8"/>
                <w:sz w:val="18"/>
                <w:szCs w:val="18"/>
              </w:rPr>
            </w:pPr>
            <w:r>
              <w:rPr>
                <w:rFonts w:hint="eastAsia"/>
                <w:spacing w:val="-8"/>
                <w:sz w:val="18"/>
                <w:szCs w:val="18"/>
              </w:rPr>
              <w:t>HG2</w:t>
            </w:r>
            <w:r>
              <w:rPr>
                <w:spacing w:val="-8"/>
                <w:sz w:val="18"/>
                <w:szCs w:val="18"/>
              </w:rPr>
              <w:t>6005</w:t>
            </w:r>
          </w:p>
        </w:tc>
        <w:tc>
          <w:tcPr>
            <w:tcW w:w="1509" w:type="dxa"/>
            <w:tcBorders>
              <w:top w:val="single" w:color="auto" w:sz="4" w:space="0"/>
              <w:left w:val="single" w:color="auto" w:sz="4" w:space="0"/>
              <w:bottom w:val="single" w:color="auto" w:sz="4" w:space="0"/>
              <w:right w:val="single" w:color="auto" w:sz="4" w:space="0"/>
            </w:tcBorders>
            <w:noWrap w:val="0"/>
            <w:vAlign w:val="bottom"/>
          </w:tcPr>
          <w:p w14:paraId="1F451AF1">
            <w:pPr>
              <w:spacing w:line="220" w:lineRule="exact"/>
              <w:jc w:val="center"/>
              <w:rPr>
                <w:rFonts w:hint="eastAsia"/>
                <w:spacing w:val="-8"/>
                <w:sz w:val="18"/>
                <w:szCs w:val="18"/>
              </w:rPr>
            </w:pPr>
            <w:r>
              <w:rPr>
                <w:rFonts w:hint="eastAsia"/>
                <w:spacing w:val="-8"/>
                <w:sz w:val="18"/>
                <w:szCs w:val="18"/>
              </w:rPr>
              <w:t>镇南路以东四棵大道以北地块（国有部分）</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9EA5578">
            <w:pPr>
              <w:spacing w:line="220" w:lineRule="exact"/>
              <w:jc w:val="center"/>
              <w:rPr>
                <w:spacing w:val="-8"/>
                <w:sz w:val="18"/>
                <w:szCs w:val="18"/>
              </w:rPr>
            </w:pPr>
            <w:r>
              <w:rPr>
                <w:spacing w:val="-8"/>
                <w:sz w:val="18"/>
                <w:szCs w:val="18"/>
              </w:rPr>
              <w:t>3200.47</w:t>
            </w:r>
          </w:p>
        </w:tc>
        <w:tc>
          <w:tcPr>
            <w:tcW w:w="723" w:type="dxa"/>
            <w:tcBorders>
              <w:top w:val="single" w:color="auto" w:sz="4" w:space="0"/>
              <w:left w:val="single" w:color="auto" w:sz="4" w:space="0"/>
              <w:bottom w:val="single" w:color="auto" w:sz="4" w:space="0"/>
              <w:right w:val="single" w:color="auto" w:sz="4" w:space="0"/>
            </w:tcBorders>
            <w:noWrap w:val="0"/>
            <w:vAlign w:val="center"/>
          </w:tcPr>
          <w:p w14:paraId="1CAB47B7">
            <w:pPr>
              <w:spacing w:line="220" w:lineRule="exact"/>
              <w:jc w:val="center"/>
              <w:rPr>
                <w:rFonts w:hint="eastAsia"/>
                <w:spacing w:val="-8"/>
                <w:sz w:val="18"/>
                <w:szCs w:val="18"/>
              </w:rPr>
            </w:pPr>
            <w:r>
              <w:rPr>
                <w:rFonts w:hint="eastAsia"/>
                <w:spacing w:val="-8"/>
                <w:sz w:val="18"/>
                <w:szCs w:val="18"/>
              </w:rPr>
              <w:t>农批市场用地</w:t>
            </w:r>
          </w:p>
        </w:tc>
        <w:tc>
          <w:tcPr>
            <w:tcW w:w="69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5653399">
            <w:pPr>
              <w:spacing w:line="220" w:lineRule="exact"/>
              <w:jc w:val="center"/>
              <w:rPr>
                <w:rFonts w:hint="eastAsia"/>
                <w:spacing w:val="-8"/>
                <w:sz w:val="18"/>
                <w:szCs w:val="18"/>
              </w:rPr>
            </w:pPr>
            <w:r>
              <w:rPr>
                <w:rFonts w:hint="eastAsia"/>
                <w:spacing w:val="-8"/>
                <w:sz w:val="18"/>
                <w:szCs w:val="18"/>
              </w:rPr>
              <w:t>0</w:t>
            </w:r>
            <w:r>
              <w:rPr>
                <w:spacing w:val="-8"/>
                <w:sz w:val="18"/>
                <w:szCs w:val="18"/>
              </w:rPr>
              <w:t>.7-1.0</w:t>
            </w:r>
          </w:p>
        </w:tc>
        <w:tc>
          <w:tcPr>
            <w:tcW w:w="81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D021A63">
            <w:pPr>
              <w:spacing w:line="220" w:lineRule="exact"/>
              <w:jc w:val="center"/>
              <w:rPr>
                <w:rFonts w:hint="eastAsia"/>
                <w:spacing w:val="-8"/>
                <w:sz w:val="18"/>
                <w:szCs w:val="18"/>
              </w:rPr>
            </w:pPr>
            <w:r>
              <w:rPr>
                <w:rFonts w:hint="eastAsia"/>
                <w:spacing w:val="-8"/>
                <w:sz w:val="18"/>
                <w:szCs w:val="18"/>
              </w:rPr>
              <w:t>≤</w:t>
            </w:r>
            <w:r>
              <w:rPr>
                <w:spacing w:val="-8"/>
                <w:sz w:val="18"/>
                <w:szCs w:val="18"/>
              </w:rPr>
              <w:t>45</w:t>
            </w:r>
          </w:p>
        </w:tc>
        <w:tc>
          <w:tcPr>
            <w:tcW w:w="61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390C29">
            <w:pPr>
              <w:spacing w:line="220" w:lineRule="exact"/>
              <w:jc w:val="center"/>
              <w:rPr>
                <w:rFonts w:hint="eastAsia"/>
                <w:spacing w:val="-8"/>
                <w:sz w:val="18"/>
                <w:szCs w:val="18"/>
              </w:rPr>
            </w:pPr>
            <w:r>
              <w:rPr>
                <w:rFonts w:hint="eastAsia"/>
                <w:spacing w:val="-8"/>
                <w:sz w:val="18"/>
                <w:szCs w:val="18"/>
              </w:rPr>
              <w:t>≥</w:t>
            </w:r>
            <w:r>
              <w:rPr>
                <w:spacing w:val="-8"/>
                <w:sz w:val="18"/>
                <w:szCs w:val="18"/>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6B1C7930">
            <w:pPr>
              <w:spacing w:line="220" w:lineRule="exact"/>
              <w:jc w:val="center"/>
              <w:rPr>
                <w:rFonts w:hint="eastAsia"/>
                <w:spacing w:val="-8"/>
                <w:sz w:val="18"/>
                <w:szCs w:val="18"/>
              </w:rPr>
            </w:pPr>
            <w:r>
              <w:rPr>
                <w:rFonts w:hint="eastAsia"/>
                <w:spacing w:val="-8"/>
                <w:sz w:val="18"/>
                <w:szCs w:val="18"/>
              </w:rPr>
              <w:t>商业4</w:t>
            </w:r>
            <w:r>
              <w:rPr>
                <w:spacing w:val="-8"/>
                <w:sz w:val="18"/>
                <w:szCs w:val="18"/>
              </w:rPr>
              <w:t>0</w:t>
            </w:r>
            <w:r>
              <w:rPr>
                <w:rFonts w:hint="eastAsia"/>
                <w:spacing w:val="-8"/>
                <w:sz w:val="18"/>
                <w:szCs w:val="18"/>
              </w:rPr>
              <w:t>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2919A3BA">
            <w:pPr>
              <w:spacing w:line="220" w:lineRule="exact"/>
              <w:jc w:val="center"/>
              <w:rPr>
                <w:spacing w:val="-8"/>
                <w:sz w:val="18"/>
                <w:szCs w:val="18"/>
              </w:rPr>
            </w:pPr>
            <w:r>
              <w:rPr>
                <w:rFonts w:hint="eastAsia"/>
                <w:spacing w:val="-8"/>
                <w:sz w:val="18"/>
                <w:szCs w:val="18"/>
              </w:rPr>
              <w:t>2</w:t>
            </w:r>
            <w:r>
              <w:rPr>
                <w:spacing w:val="-8"/>
                <w:sz w:val="18"/>
                <w:szCs w:val="18"/>
              </w:rPr>
              <w:t>3</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02E9CD3E">
            <w:pPr>
              <w:spacing w:line="220" w:lineRule="exact"/>
              <w:jc w:val="center"/>
              <w:rPr>
                <w:spacing w:val="-8"/>
                <w:sz w:val="18"/>
                <w:szCs w:val="18"/>
              </w:rPr>
            </w:pPr>
            <w:r>
              <w:rPr>
                <w:rFonts w:hint="eastAsia"/>
                <w:spacing w:val="-8"/>
                <w:sz w:val="18"/>
                <w:szCs w:val="18"/>
              </w:rPr>
              <w:t>1</w:t>
            </w:r>
            <w:r>
              <w:rPr>
                <w:spacing w:val="-8"/>
                <w:sz w:val="18"/>
                <w:szCs w:val="18"/>
              </w:rPr>
              <w:t>12</w:t>
            </w:r>
          </w:p>
        </w:tc>
      </w:tr>
      <w:tr w14:paraId="41A73AE9">
        <w:tblPrEx>
          <w:tblCellMar>
            <w:top w:w="0" w:type="dxa"/>
            <w:left w:w="0" w:type="dxa"/>
            <w:bottom w:w="0" w:type="dxa"/>
            <w:right w:w="0" w:type="dxa"/>
          </w:tblCellMar>
        </w:tblPrEx>
        <w:trPr>
          <w:cantSplit/>
          <w:trHeight w:val="732"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0D68B0E3">
            <w:pPr>
              <w:spacing w:line="220" w:lineRule="exact"/>
              <w:jc w:val="center"/>
              <w:rPr>
                <w:rFonts w:hint="eastAsia"/>
                <w:spacing w:val="-8"/>
                <w:sz w:val="18"/>
                <w:szCs w:val="18"/>
              </w:rPr>
            </w:pPr>
            <w:r>
              <w:rPr>
                <w:rFonts w:hint="eastAsia"/>
                <w:spacing w:val="-8"/>
                <w:sz w:val="18"/>
                <w:szCs w:val="18"/>
              </w:rPr>
              <w:t>HG2</w:t>
            </w:r>
            <w:r>
              <w:rPr>
                <w:spacing w:val="-8"/>
                <w:sz w:val="18"/>
                <w:szCs w:val="18"/>
              </w:rPr>
              <w:t>6006</w:t>
            </w:r>
          </w:p>
        </w:tc>
        <w:tc>
          <w:tcPr>
            <w:tcW w:w="1509" w:type="dxa"/>
            <w:tcBorders>
              <w:top w:val="single" w:color="auto" w:sz="4" w:space="0"/>
              <w:left w:val="single" w:color="auto" w:sz="4" w:space="0"/>
              <w:bottom w:val="single" w:color="auto" w:sz="4" w:space="0"/>
              <w:right w:val="single" w:color="auto" w:sz="4" w:space="0"/>
            </w:tcBorders>
            <w:noWrap w:val="0"/>
            <w:vAlign w:val="bottom"/>
          </w:tcPr>
          <w:p w14:paraId="280AA68E">
            <w:pPr>
              <w:spacing w:line="220" w:lineRule="exact"/>
              <w:jc w:val="center"/>
              <w:rPr>
                <w:rFonts w:hint="eastAsia"/>
                <w:spacing w:val="-8"/>
                <w:sz w:val="18"/>
                <w:szCs w:val="18"/>
              </w:rPr>
            </w:pPr>
            <w:r>
              <w:rPr>
                <w:rFonts w:hint="eastAsia"/>
                <w:spacing w:val="-8"/>
                <w:sz w:val="18"/>
                <w:szCs w:val="18"/>
              </w:rPr>
              <w:t>王叶二路以东四棵大道以南九创电子以北地块</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0C4EEAB">
            <w:pPr>
              <w:spacing w:line="220" w:lineRule="exact"/>
              <w:jc w:val="center"/>
              <w:rPr>
                <w:spacing w:val="-8"/>
                <w:sz w:val="18"/>
                <w:szCs w:val="18"/>
              </w:rPr>
            </w:pPr>
            <w:r>
              <w:rPr>
                <w:rFonts w:hint="eastAsia"/>
                <w:spacing w:val="-8"/>
                <w:sz w:val="18"/>
                <w:szCs w:val="18"/>
              </w:rPr>
              <w:t>1</w:t>
            </w:r>
            <w:r>
              <w:rPr>
                <w:spacing w:val="-8"/>
                <w:sz w:val="18"/>
                <w:szCs w:val="18"/>
              </w:rPr>
              <w:t>0000.04</w:t>
            </w:r>
          </w:p>
        </w:tc>
        <w:tc>
          <w:tcPr>
            <w:tcW w:w="723" w:type="dxa"/>
            <w:tcBorders>
              <w:top w:val="single" w:color="auto" w:sz="4" w:space="0"/>
              <w:left w:val="single" w:color="auto" w:sz="4" w:space="0"/>
              <w:bottom w:val="single" w:color="auto" w:sz="4" w:space="0"/>
              <w:right w:val="single" w:color="auto" w:sz="4" w:space="0"/>
            </w:tcBorders>
            <w:noWrap w:val="0"/>
            <w:vAlign w:val="center"/>
          </w:tcPr>
          <w:p w14:paraId="4A0044F9">
            <w:pPr>
              <w:spacing w:line="220" w:lineRule="exact"/>
              <w:jc w:val="center"/>
              <w:rPr>
                <w:rFonts w:hint="eastAsia"/>
                <w:spacing w:val="-8"/>
                <w:sz w:val="18"/>
                <w:szCs w:val="18"/>
              </w:rPr>
            </w:pPr>
            <w:r>
              <w:rPr>
                <w:rFonts w:hint="eastAsia"/>
                <w:spacing w:val="-8"/>
                <w:sz w:val="18"/>
                <w:szCs w:val="18"/>
              </w:rPr>
              <w:t>工业用地</w:t>
            </w:r>
          </w:p>
        </w:tc>
        <w:tc>
          <w:tcPr>
            <w:tcW w:w="69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9767AE">
            <w:pPr>
              <w:spacing w:line="220" w:lineRule="exact"/>
              <w:jc w:val="center"/>
              <w:rPr>
                <w:rFonts w:hint="eastAsia"/>
                <w:spacing w:val="-8"/>
                <w:sz w:val="18"/>
                <w:szCs w:val="18"/>
              </w:rPr>
            </w:pPr>
            <w:r>
              <w:rPr>
                <w:rFonts w:hint="eastAsia"/>
                <w:spacing w:val="-8"/>
                <w:sz w:val="18"/>
                <w:szCs w:val="18"/>
              </w:rPr>
              <w:t>≥1.</w:t>
            </w:r>
            <w:r>
              <w:rPr>
                <w:spacing w:val="-8"/>
                <w:sz w:val="18"/>
                <w:szCs w:val="18"/>
              </w:rPr>
              <w:t>0</w:t>
            </w:r>
          </w:p>
        </w:tc>
        <w:tc>
          <w:tcPr>
            <w:tcW w:w="81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266539">
            <w:pPr>
              <w:spacing w:line="220" w:lineRule="exact"/>
              <w:jc w:val="center"/>
              <w:rPr>
                <w:rFonts w:hint="eastAsia"/>
                <w:spacing w:val="-8"/>
                <w:sz w:val="18"/>
                <w:szCs w:val="18"/>
              </w:rPr>
            </w:pPr>
            <w:r>
              <w:rPr>
                <w:rFonts w:hint="eastAsia"/>
                <w:spacing w:val="-8"/>
                <w:sz w:val="18"/>
                <w:szCs w:val="18"/>
              </w:rPr>
              <w:t>≥</w:t>
            </w:r>
            <w:r>
              <w:rPr>
                <w:spacing w:val="-8"/>
                <w:sz w:val="18"/>
                <w:szCs w:val="18"/>
              </w:rPr>
              <w:t>4</w:t>
            </w:r>
            <w:r>
              <w:rPr>
                <w:rFonts w:hint="eastAsia"/>
                <w:spacing w:val="-8"/>
                <w:sz w:val="18"/>
                <w:szCs w:val="18"/>
              </w:rPr>
              <w:t xml:space="preserve">0 </w:t>
            </w:r>
          </w:p>
        </w:tc>
        <w:tc>
          <w:tcPr>
            <w:tcW w:w="61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4CBBDD">
            <w:pPr>
              <w:spacing w:line="220" w:lineRule="exact"/>
              <w:jc w:val="center"/>
              <w:rPr>
                <w:rFonts w:hint="eastAsia"/>
                <w:spacing w:val="-8"/>
                <w:sz w:val="18"/>
                <w:szCs w:val="18"/>
              </w:rPr>
            </w:pPr>
            <w:r>
              <w:rPr>
                <w:rFonts w:hint="eastAsia"/>
                <w:spacing w:val="-8"/>
                <w:sz w:val="18"/>
                <w:szCs w:val="18"/>
              </w:rPr>
              <w:t>≤</w:t>
            </w:r>
            <w:r>
              <w:rPr>
                <w:spacing w:val="-8"/>
                <w:sz w:val="18"/>
                <w:szCs w:val="18"/>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491C8E24">
            <w:pPr>
              <w:spacing w:line="220" w:lineRule="exact"/>
              <w:jc w:val="center"/>
              <w:rPr>
                <w:rFonts w:hint="eastAsia"/>
                <w:spacing w:val="-8"/>
                <w:sz w:val="18"/>
                <w:szCs w:val="18"/>
              </w:rPr>
            </w:pPr>
            <w:r>
              <w:rPr>
                <w:rFonts w:hint="eastAsia"/>
                <w:spacing w:val="-8"/>
                <w:sz w:val="18"/>
                <w:szCs w:val="18"/>
              </w:rPr>
              <w:t>工业</w:t>
            </w:r>
            <w:r>
              <w:rPr>
                <w:spacing w:val="-8"/>
                <w:sz w:val="18"/>
                <w:szCs w:val="18"/>
              </w:rPr>
              <w:t>5</w:t>
            </w:r>
            <w:r>
              <w:rPr>
                <w:rFonts w:hint="eastAsia"/>
                <w:spacing w:val="-8"/>
                <w:sz w:val="18"/>
                <w:szCs w:val="18"/>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192FB7AD">
            <w:pPr>
              <w:spacing w:line="220" w:lineRule="exact"/>
              <w:jc w:val="center"/>
              <w:rPr>
                <w:spacing w:val="-8"/>
                <w:sz w:val="18"/>
                <w:szCs w:val="18"/>
              </w:rPr>
            </w:pPr>
            <w:r>
              <w:rPr>
                <w:rFonts w:hint="eastAsia"/>
                <w:spacing w:val="-8"/>
                <w:sz w:val="18"/>
                <w:szCs w:val="18"/>
              </w:rPr>
              <w:t>1</w:t>
            </w:r>
            <w:r>
              <w:rPr>
                <w:spacing w:val="-8"/>
                <w:sz w:val="18"/>
                <w:szCs w:val="18"/>
              </w:rPr>
              <w:t>41</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3CB48657">
            <w:pPr>
              <w:spacing w:line="220" w:lineRule="exact"/>
              <w:jc w:val="center"/>
              <w:rPr>
                <w:spacing w:val="-8"/>
                <w:sz w:val="18"/>
                <w:szCs w:val="18"/>
              </w:rPr>
            </w:pPr>
            <w:r>
              <w:rPr>
                <w:rFonts w:hint="eastAsia"/>
                <w:spacing w:val="-8"/>
                <w:sz w:val="18"/>
                <w:szCs w:val="18"/>
              </w:rPr>
              <w:t>2</w:t>
            </w:r>
            <w:r>
              <w:rPr>
                <w:spacing w:val="-8"/>
                <w:sz w:val="18"/>
                <w:szCs w:val="18"/>
              </w:rPr>
              <w:t>81</w:t>
            </w:r>
          </w:p>
        </w:tc>
      </w:tr>
    </w:tbl>
    <w:p w14:paraId="646DB48F">
      <w:pPr>
        <w:keepNext w:val="0"/>
        <w:keepLines w:val="0"/>
        <w:pageBreakBefore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25DA3366">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 铁山区政府负责。宗地涉及的契税、印花税由竞得人按规定缴纳。</w:t>
      </w:r>
    </w:p>
    <w:p w14:paraId="404E433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460D0EB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（三）土地交付：由黄石经济技术开发区管委会·铁山区政府负责。</w:t>
      </w:r>
    </w:p>
    <w:p w14:paraId="57E133C2">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26004、HG26005、HG26006地块竞得人必须严格按照黄石市自然资源和规划局出具规划条件要求进行开发建设。HG26005号地块为整体规划，总面积为10528.51平方米（其中国有建设用地3200.47平方米，集体建设用地7328.04平方米），此次供应国有土地部分3200.47平方米，竞得人需与村集体就紧邻两块集体土地使用问题协商一致，集体土地部分土地成本由使用人与村集体协商承担缴纳，按规划条件整体开发建设，受让人及集体土地使用人必须按规划条件对供应地块进行开发建设，不得对外销售商铺、不得开发餐饮娱乐等商业综合体，不得擅自改变用途用于商业性房地产开发，HG26004、HG26005、HG26006地块土地出让金自《国有土地使用权出让合同》签订之日起30天内缴清。受让人宗地所涉及的契税、印花税没有纳入土地出让价款，由竞得者在土地出让合同签订之日起1个月内缴清。企业提供供地申请等相关资料，再按程序签订《国有建设用地使用权出让合同》，并在签订出让合同后10个工作日内建立“建设项目信息公示牌”，公示牌具体规格及公示内容由自然资源和规划部门另行告知。</w:t>
      </w:r>
    </w:p>
    <w:p w14:paraId="3ECCF8B7">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（五）上述宗地以现状挂牌出让，实际勘测交付面积与挂牌出让文件标明的出让面积差异率在1%以内的，面积差异不影响成交价款。</w:t>
      </w:r>
    </w:p>
    <w:p w14:paraId="021F48DD">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（六）受让人在工程施工时要做好地质灾害防治工作，确保人民生命财产安全和工程建设的地质安全。</w:t>
      </w:r>
    </w:p>
    <w:p w14:paraId="1DA231F3">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keepNext w:val="0"/>
        <w:keepLines w:val="0"/>
        <w:pageBreakBefore w:val="0"/>
        <w:widowControl/>
        <w:numPr>
          <w:ilvl w:val="0"/>
          <w:numId w:val="0"/>
        </w:numPr>
        <w:kinsoku/>
        <w:wordWrap w:val="0"/>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kern w:val="2"/>
          <w:sz w:val="32"/>
          <w:szCs w:val="24"/>
        </w:rPr>
      </w:pPr>
      <w:r>
        <w:rPr>
          <w:rFonts w:hint="eastAsia" w:ascii="仿宋_GB2312" w:hAnsi="仿宋_GB2312" w:eastAsia="仿宋_GB2312" w:cs="仿宋_GB2312"/>
          <w:kern w:val="2"/>
          <w:sz w:val="32"/>
          <w:szCs w:val="24"/>
          <w:lang w:val="en-US" w:eastAsia="zh-CN" w:bidi="ar-SA"/>
        </w:rPr>
        <w:t>（一）中华人民共和国境内外的自然人、法人和其他组织，除法律法规另有规定外，均可申请参加，申请人可以单独申请，也可以联合申请。竞买申请人在参与网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kern w:val="2"/>
          <w:sz w:val="32"/>
          <w:szCs w:val="24"/>
        </w:rPr>
        <w:t>。</w:t>
      </w:r>
    </w:p>
    <w:p w14:paraId="2034BD4F">
      <w:pPr>
        <w:pStyle w:val="7"/>
        <w:keepNext w:val="0"/>
        <w:keepLines w:val="0"/>
        <w:pageBreakBefore w:val="0"/>
        <w:widowControl/>
        <w:kinsoku/>
        <w:wordWrap/>
        <w:overflowPunct/>
        <w:autoSpaceDE/>
        <w:autoSpaceDN/>
        <w:bidi w:val="0"/>
        <w:adjustRightInd/>
        <w:spacing w:line="560" w:lineRule="exact"/>
        <w:ind w:firstLine="640"/>
        <w:jc w:val="both"/>
        <w:rPr>
          <w:rFonts w:ascii="Times New Roman" w:hAnsi="Times New Roman" w:eastAsia="仿宋_GB2312" w:cs="Times New Roman"/>
          <w:kern w:val="2"/>
          <w:sz w:val="32"/>
          <w:szCs w:val="24"/>
          <w:lang w:val="en-US" w:eastAsia="zh-CN" w:bidi="ar-SA"/>
        </w:rPr>
      </w:pPr>
      <w:r>
        <w:rPr>
          <w:rFonts w:hint="eastAsia" w:ascii="Times New Roman" w:hAnsi="Times New Roman" w:eastAsia="仿宋_GB2312"/>
          <w:kern w:val="2"/>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ascii="Times New Roman" w:hAnsi="Times New Roman" w:eastAsia="仿宋_GB2312" w:cs="Times New Roman"/>
          <w:kern w:val="2"/>
          <w:sz w:val="32"/>
          <w:szCs w:val="24"/>
          <w:lang w:val="en-US" w:eastAsia="zh-CN" w:bidi="ar-SA"/>
        </w:rPr>
        <w:t>。</w:t>
      </w:r>
    </w:p>
    <w:p w14:paraId="1B42EF1C">
      <w:pPr>
        <w:keepNext w:val="0"/>
        <w:keepLines w:val="0"/>
        <w:pageBreakBefore w:val="0"/>
        <w:widowControl/>
        <w:numPr>
          <w:ilvl w:val="0"/>
          <w:numId w:val="0"/>
        </w:numPr>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六、本次国有建设用地使用权挂牌出让只能在互联网上通过黄石市公共资源交易网交易信息“国有土地出让”中开发区·铁山区（中国银行）栏目国有土地网上交易系统进行。只有办理数字证书、通过网上注册、足额交纳竞买保证金的申请人，才能参加网上挂牌出让活动。</w:t>
      </w:r>
    </w:p>
    <w:p w14:paraId="41E29280">
      <w:pPr>
        <w:keepNext w:val="0"/>
        <w:keepLines w:val="0"/>
        <w:pageBreakBefore w:val="0"/>
        <w:widowControl/>
        <w:numPr>
          <w:ilvl w:val="0"/>
          <w:numId w:val="0"/>
        </w:numPr>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只接受网上报名、网上竞买申请及报价。竞买人的网上竞买报价一经系统确认，不能修改或撤回。</w:t>
      </w:r>
    </w:p>
    <w:p w14:paraId="166D1A55">
      <w:pPr>
        <w:keepNext w:val="0"/>
        <w:keepLines w:val="0"/>
        <w:pageBreakBefore w:val="0"/>
        <w:widowControl/>
        <w:numPr>
          <w:ilvl w:val="0"/>
          <w:numId w:val="0"/>
        </w:numPr>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不接受电话、邮寄、书面、口头等其他方式的竞买申请和报价。</w:t>
      </w:r>
    </w:p>
    <w:p w14:paraId="361F93FC">
      <w:pPr>
        <w:keepNext w:val="0"/>
        <w:keepLines w:val="0"/>
        <w:pageBreakBefore w:val="0"/>
        <w:widowControl/>
        <w:numPr>
          <w:ilvl w:val="0"/>
          <w:numId w:val="0"/>
        </w:numPr>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交纳竞买保证金的截止时间为2026年8月4日16时（收款单位：黄石经济技术开发区·铁山区公共资源交易中心；开户行：中国银行股份有限公司黄石分行；账号：随机自动生成账号），竞买人必须全部接受网上挂牌出让条件和挂牌文件，并按规定交纳竞买保证金后，方可参与竞买。</w:t>
      </w:r>
    </w:p>
    <w:p w14:paraId="497D5580">
      <w:pPr>
        <w:keepNext w:val="0"/>
        <w:keepLines w:val="0"/>
        <w:pageBreakBefore w:val="0"/>
        <w:kinsoku/>
        <w:wordWrap/>
        <w:overflowPunct/>
        <w:topLinePunct/>
        <w:autoSpaceDE/>
        <w:autoSpaceDN/>
        <w:bidi w:val="0"/>
        <w:adjustRightInd/>
        <w:snapToGrid w:val="0"/>
        <w:spacing w:line="560" w:lineRule="exact"/>
        <w:ind w:firstLine="640" w:firstLineChars="200"/>
        <w:rPr>
          <w:rFonts w:ascii="Times New Roman" w:hAnsi="Times New Roman" w:eastAsia="仿宋_GB2312" w:cs="Times New Roman"/>
          <w:sz w:val="32"/>
          <w:szCs w:val="24"/>
        </w:rPr>
      </w:pPr>
      <w:r>
        <w:rPr>
          <w:rFonts w:hint="eastAsia" w:ascii="仿宋_GB2312" w:hAnsi="仿宋_GB2312" w:eastAsia="仿宋_GB2312" w:cs="仿宋_GB2312"/>
          <w:kern w:val="2"/>
          <w:sz w:val="32"/>
          <w:szCs w:val="22"/>
          <w:lang w:val="en-US" w:eastAsia="zh-CN" w:bidi="ar-SA"/>
        </w:rPr>
        <w:t>竞买人保证金必须从单位账户汇出，在网上交易系统点击“申购”,通过交易系统在</w:t>
      </w:r>
      <w:r>
        <w:rPr>
          <w:rFonts w:hint="eastAsia" w:ascii="仿宋_GB2312" w:hAnsi="仿宋_GB2312" w:eastAsia="仿宋_GB2312" w:cs="仿宋_GB2312"/>
          <w:b/>
          <w:bCs/>
          <w:kern w:val="2"/>
          <w:sz w:val="32"/>
          <w:szCs w:val="22"/>
          <w:lang w:val="en-US" w:eastAsia="zh-CN" w:bidi="ar-SA"/>
        </w:rPr>
        <w:t>2026年8月4日16时</w:t>
      </w:r>
      <w:r>
        <w:rPr>
          <w:rFonts w:hint="eastAsia" w:ascii="Times New Roman" w:hAnsi="Times New Roman" w:eastAsia="仿宋_GB2312" w:cs="Times New Roman"/>
          <w:b/>
          <w:bCs/>
          <w:sz w:val="32"/>
          <w:szCs w:val="24"/>
        </w:rPr>
        <w:t>前</w:t>
      </w:r>
      <w:r>
        <w:rPr>
          <w:rFonts w:hint="eastAsia" w:ascii="Times New Roman" w:hAnsi="Times New Roman" w:eastAsia="仿宋_GB2312" w:cs="Times New Roman"/>
          <w:b/>
          <w:bCs/>
          <w:sz w:val="32"/>
          <w:szCs w:val="24"/>
          <w:lang w:eastAsia="zh-CN"/>
        </w:rPr>
        <w:t>，</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w:t>
      </w:r>
    </w:p>
    <w:p w14:paraId="18F62795">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（六）出让地块红线图；</w:t>
      </w:r>
    </w:p>
    <w:p w14:paraId="13592252">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60" w:lineRule="exact"/>
        <w:ind w:firstLine="576" w:firstLineChars="18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 (咨询电话：6393488)。也可向黄石市自然资源和规划局开发区·铁山区分局及开发区·铁山区公共资源交易中心申请组织现场踏勘。</w:t>
      </w:r>
    </w:p>
    <w:p w14:paraId="1E0106D3">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十、本次挂牌出让活动有关时间具体如下：</w:t>
      </w:r>
    </w:p>
    <w:p w14:paraId="26ABF9C5">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1、挂牌起始时间：2026年7月27日上午10时；</w:t>
      </w:r>
    </w:p>
    <w:p w14:paraId="24D9DB1F">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2、挂牌截止时间：2026年8月6日上午10时。</w:t>
      </w:r>
    </w:p>
    <w:p w14:paraId="3F120E67">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（二）在挂牌期内，有意竞买者通过注册申请并缴纳竞买保证金至指定账户后，取得竞买资格；</w:t>
      </w:r>
    </w:p>
    <w:p w14:paraId="0D8F6CDA">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（三）竞买人在挂牌期内参与竞买，报价经系统确认无误后即显示为当前报价；</w:t>
      </w:r>
    </w:p>
    <w:p w14:paraId="6E3E84AA">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（五）出让结果公布</w:t>
      </w:r>
    </w:p>
    <w:p w14:paraId="57F7CC24">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pStyle w:val="4"/>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cs="Times New Roman"/>
          <w:szCs w:val="24"/>
        </w:rPr>
      </w:pPr>
      <w:r>
        <w:rPr>
          <w:rFonts w:hint="eastAsia" w:ascii="Times New Roman" w:hAnsi="Times New Roman" w:cs="Times New Roman"/>
          <w:szCs w:val="24"/>
        </w:rPr>
        <w:t>（一）</w:t>
      </w:r>
      <w:r>
        <w:rPr>
          <w:rFonts w:ascii="Times New Roman" w:hAnsi="Times New Roman" w:cs="Times New Roman"/>
          <w:szCs w:val="24"/>
        </w:rPr>
        <w:t>宗地的竞买保证金为：</w:t>
      </w:r>
    </w:p>
    <w:p w14:paraId="14F3F984">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HG26004号地块为人民币大写壹佰柒拾壹万元整（￥：  1710000元）；</w:t>
      </w:r>
    </w:p>
    <w:p w14:paraId="45EE2BFE">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HG26005号地块为人民币大写贰拾叁万元整（￥：230000元）；</w:t>
      </w:r>
    </w:p>
    <w:p w14:paraId="4DA344CC">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lang w:eastAsia="zh-CN"/>
        </w:rPr>
      </w:pPr>
      <w:r>
        <w:rPr>
          <w:rFonts w:hint="eastAsia" w:ascii="仿宋_GB2312" w:hAnsi="仿宋_GB2312" w:eastAsia="仿宋_GB2312" w:cs="仿宋_GB2312"/>
          <w:sz w:val="32"/>
          <w:szCs w:val="22"/>
        </w:rPr>
        <w:t>HG26006号地块为人民币大写壹佰肆拾壹万元整（￥：  1410000元）；</w:t>
      </w:r>
    </w:p>
    <w:p w14:paraId="66BF17DC">
      <w:pPr>
        <w:pStyle w:val="4"/>
        <w:keepNext w:val="0"/>
        <w:keepLines w:val="0"/>
        <w:pageBreakBefore w:val="0"/>
        <w:widowControl w:val="0"/>
        <w:kinsoku/>
        <w:wordWrap/>
        <w:overflowPunct/>
        <w:autoSpaceDE/>
        <w:autoSpaceDN/>
        <w:bidi w:val="0"/>
        <w:adjustRightInd/>
        <w:spacing w:line="560" w:lineRule="exact"/>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rPr>
        <w:t>二</w:t>
      </w:r>
      <w:r>
        <w:rPr>
          <w:rFonts w:hint="eastAsia" w:ascii="Times New Roman" w:hAnsi="Times New Roman" w:cs="Times New Roman"/>
          <w:szCs w:val="24"/>
          <w:lang w:eastAsia="zh-CN"/>
        </w:rPr>
        <w:t>）</w:t>
      </w:r>
      <w:r>
        <w:rPr>
          <w:rFonts w:hint="eastAsia" w:ascii="Times New Roman" w:hAnsi="Times New Roman" w:cs="Times New Roman"/>
          <w:szCs w:val="24"/>
        </w:rPr>
        <w:t xml:space="preserve">宗地的出让起始价、增价幅度 </w:t>
      </w:r>
    </w:p>
    <w:p w14:paraId="3DE30716">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HG26004号地块：出让起始价为人民币大写叁佰肆拾贰万元整（￥：3420000元整）；</w:t>
      </w:r>
    </w:p>
    <w:p w14:paraId="00E5ECB8">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HG26005号地块：出让起始价为人民币大写壹佰壹拾贰万元整（￥ 1120000元整）；</w:t>
      </w:r>
    </w:p>
    <w:p w14:paraId="66333581">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HG26006号地块：出让起始价为人民币大写贰佰捌拾壹万元整（￥2810000元整）；</w:t>
      </w:r>
    </w:p>
    <w:p w14:paraId="2760E874">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增价幅度均为人民币大写壹拾万元或壹拾万元的整倍数。</w:t>
      </w:r>
    </w:p>
    <w:p w14:paraId="5F3396FD">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三</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初次报价不得低于起始价，初次报价后的每次报价应当比当前最高报价递增一个加价幅度，加价幅度不得小于本须知规定的增价幅度。</w:t>
      </w:r>
    </w:p>
    <w:p w14:paraId="5263474A">
      <w:pPr>
        <w:keepNext w:val="0"/>
        <w:keepLines w:val="0"/>
        <w:pageBreakBefore w:val="0"/>
        <w:widowControl w:val="0"/>
        <w:kinsoku/>
        <w:wordWrap/>
        <w:overflowPunct/>
        <w:autoSpaceDE/>
        <w:autoSpaceDN/>
        <w:bidi w:val="0"/>
        <w:adjustRightInd/>
        <w:spacing w:line="560" w:lineRule="exact"/>
        <w:ind w:firstLine="480" w:firstLineChars="15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 xml:space="preserve"> </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四</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在报价期间，竞买人可多次报价。</w:t>
      </w:r>
    </w:p>
    <w:p w14:paraId="6165072C">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五</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竞买人通过系统提交的报价一经报出，不得撤回。</w:t>
      </w:r>
    </w:p>
    <w:p w14:paraId="5A0DD649">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六</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竞买人报价有下列情形之一的，为无效报价：</w:t>
      </w:r>
    </w:p>
    <w:p w14:paraId="09C9500D">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1、报价因竞买人网络故障未在挂牌报价期限内报价的；</w:t>
      </w:r>
    </w:p>
    <w:p w14:paraId="234E6923">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2、报价不符合报价规则的；</w:t>
      </w:r>
    </w:p>
    <w:p w14:paraId="3A4BA811">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3、报价与竞买文件不符的；</w:t>
      </w:r>
    </w:p>
    <w:p w14:paraId="3349F268">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4、报价不符合挂牌文件规定的其他情形的。</w:t>
      </w:r>
    </w:p>
    <w:p w14:paraId="667D2E85">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十三、注意事项</w:t>
      </w:r>
    </w:p>
    <w:p w14:paraId="095FAD6B">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（一）申请人须全面阅读有关出让文件，如有疑问可以在出让活动开始日以前用书面或口头方式向</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（二）申请人竞得土地后，拟成立新公司进行开发建设的，应在申请书中明确新公司的出资构成、成立时间等内容。</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ascii="Times New Roman" w:hAnsi="Times New Roman" w:eastAsia="仿宋_GB2312" w:cs="Times New Roman"/>
          <w:sz w:val="32"/>
          <w:szCs w:val="24"/>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w:t>
      </w:r>
      <w:r>
        <w:rPr>
          <w:rFonts w:hint="eastAsia" w:ascii="Times New Roman" w:hAnsi="Times New Roman" w:eastAsia="仿宋_GB2312" w:cs="Times New Roman"/>
          <w:sz w:val="32"/>
          <w:szCs w:val="24"/>
        </w:rPr>
        <w:t>黄石市自然资源和规划局开发区·铁山区分局</w:t>
      </w:r>
      <w:r>
        <w:rPr>
          <w:rFonts w:ascii="Times New Roman" w:hAnsi="Times New Roman" w:eastAsia="仿宋_GB2312" w:cs="Times New Roman"/>
          <w:sz w:val="32"/>
          <w:szCs w:val="24"/>
        </w:rPr>
        <w:t>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autoSpaceDE/>
        <w:autoSpaceDN/>
        <w:bidi w:val="0"/>
        <w:adjustRightInd/>
        <w:spacing w:line="560" w:lineRule="exact"/>
        <w:ind w:firstLine="640" w:firstLineChars="200"/>
        <w:rPr>
          <w:rFonts w:ascii="仿宋_GB2312" w:hAnsi="仿宋_GB2312" w:eastAsia="仿宋_GB2312" w:cs="仿宋_GB2312"/>
          <w:sz w:val="32"/>
        </w:rPr>
      </w:pPr>
      <w:r>
        <w:rPr>
          <w:rFonts w:hint="eastAsia" w:ascii="仿宋_GB2312" w:hAnsi="仿宋_GB2312" w:eastAsia="仿宋_GB2312" w:cs="仿宋_GB2312"/>
          <w:sz w:val="32"/>
        </w:rPr>
        <w:t>（三）本次公开出让地块均设有出让底价，在公开出让活动结束前须严格保密。</w:t>
      </w:r>
    </w:p>
    <w:p w14:paraId="379F764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四</w:t>
      </w: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竞买报价一经提交，不可撤回。</w:t>
      </w:r>
    </w:p>
    <w:p w14:paraId="03C6498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五</w:t>
      </w:r>
      <w:r>
        <w:rPr>
          <w:rFonts w:ascii="Times New Roman" w:hAnsi="Times New Roman" w:eastAsia="仿宋_GB2312" w:cs="Times New Roman"/>
          <w:sz w:val="32"/>
          <w:szCs w:val="24"/>
        </w:rPr>
        <w:t>）确定竞得人后，竞得人与</w:t>
      </w:r>
      <w:r>
        <w:rPr>
          <w:rFonts w:hint="eastAsia" w:ascii="Times New Roman" w:hAnsi="Times New Roman" w:eastAsia="仿宋_GB2312" w:cs="Times New Roman"/>
          <w:sz w:val="32"/>
          <w:szCs w:val="24"/>
        </w:rPr>
        <w:t>挂牌</w:t>
      </w:r>
      <w:r>
        <w:rPr>
          <w:rFonts w:ascii="Times New Roman" w:hAnsi="Times New Roman" w:eastAsia="仿宋_GB2312" w:cs="Times New Roman"/>
          <w:sz w:val="32"/>
          <w:szCs w:val="24"/>
        </w:rPr>
        <w:t>人签订《成交确认书》。委托他人代签的，应提交法定代表人亲笔签名并盖章的授权委托书。《成交确认书》对出让人和竞得人具有法律效力，出让人改变</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出让结果的，或者竞得人放弃竞得宗地的，应当承担法律责任。</w:t>
      </w:r>
    </w:p>
    <w:p w14:paraId="3DB41FD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六</w:t>
      </w:r>
      <w:r>
        <w:rPr>
          <w:rFonts w:ascii="Times New Roman" w:hAnsi="Times New Roman" w:eastAsia="仿宋_GB2312" w:cs="Times New Roman"/>
          <w:sz w:val="32"/>
          <w:szCs w:val="24"/>
        </w:rPr>
        <w:t>）竞得人交纳的竞买保证金，出让成交后</w:t>
      </w:r>
      <w:r>
        <w:rPr>
          <w:rFonts w:hint="eastAsia" w:ascii="Times New Roman" w:hAnsi="Times New Roman" w:eastAsia="仿宋_GB2312" w:cs="Times New Roman"/>
          <w:sz w:val="32"/>
          <w:szCs w:val="24"/>
        </w:rPr>
        <w:t>3个工作日内办理了</w:t>
      </w:r>
      <w:r>
        <w:rPr>
          <w:rFonts w:ascii="Times New Roman" w:hAnsi="Times New Roman" w:eastAsia="仿宋_GB2312" w:cs="Times New Roman"/>
          <w:sz w:val="32"/>
          <w:szCs w:val="24"/>
        </w:rPr>
        <w:t>《成交确认书》</w:t>
      </w:r>
      <w:r>
        <w:rPr>
          <w:rFonts w:hint="eastAsia" w:ascii="Times New Roman" w:hAnsi="Times New Roman" w:eastAsia="仿宋_GB2312" w:cs="Times New Roman"/>
          <w:sz w:val="32"/>
          <w:szCs w:val="24"/>
        </w:rPr>
        <w:t>的，</w:t>
      </w:r>
      <w:r>
        <w:rPr>
          <w:rFonts w:ascii="Times New Roman" w:hAnsi="Times New Roman" w:eastAsia="仿宋_GB2312" w:cs="Times New Roman"/>
          <w:sz w:val="32"/>
          <w:szCs w:val="24"/>
        </w:rPr>
        <w:t>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七</w:t>
      </w:r>
      <w:r>
        <w:rPr>
          <w:rFonts w:ascii="Times New Roman" w:hAnsi="Times New Roman" w:eastAsia="仿宋_GB2312" w:cs="Times New Roman"/>
          <w:sz w:val="32"/>
          <w:szCs w:val="24"/>
        </w:rPr>
        <w:t>）竞得人与出让人签订《国有建设用地使用权出让合同》后，应当按出让合同约定支付出让成交价款。竞得人付清全部出让成交价款后，依法申请办理土地登记</w:t>
      </w:r>
      <w:r>
        <w:rPr>
          <w:rFonts w:hint="eastAsia" w:ascii="Times New Roman" w:hAnsi="Times New Roman" w:eastAsia="仿宋_GB2312" w:cs="Times New Roman"/>
          <w:sz w:val="32"/>
          <w:szCs w:val="24"/>
        </w:rPr>
        <w:t>手续。</w:t>
      </w:r>
    </w:p>
    <w:p w14:paraId="15514AB8">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（八）挂牌期满，网上挂牌出让成交确认系统根据下列条件自动确定竞得人：</w:t>
      </w:r>
    </w:p>
    <w:p w14:paraId="09372ACC">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1、在挂牌期限内，只有一个竞买人报价，且报价等于或高于底价，挂牌成交；</w:t>
      </w:r>
    </w:p>
    <w:p w14:paraId="7C1195E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2、在挂牌期限内，有两个或者两个以上竞买人报价的，报价等于或高于底价，且出价最高者为竞得人；</w:t>
      </w:r>
    </w:p>
    <w:p w14:paraId="4B44A7C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3、在挂牌期限内，无应价者或竞买人的报价均低于底价的，挂牌不成交；</w:t>
      </w:r>
    </w:p>
    <w:p w14:paraId="7718217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4、在挂牌期限截止前10分钟，竞买人必须在挂牌报价期间最少有一次报价，才能进入最后的限时报价；</w:t>
      </w:r>
    </w:p>
    <w:p w14:paraId="1782B25E">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7、本次公开出让地块均设有出让底价，在公开出让活动结束前须严格保密。</w:t>
      </w:r>
    </w:p>
    <w:p w14:paraId="5D5CA79E">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九</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有下列情形之一的，开发区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铁山区公共资源交易中心将中（终）止挂牌活动：</w:t>
      </w:r>
    </w:p>
    <w:p w14:paraId="3722EE14">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2、竞买人串通损害国家利益、社会利益或他人合法权益的；</w:t>
      </w:r>
    </w:p>
    <w:p w14:paraId="076AA853">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3、出让工作人员私下接触竞买人，足以影响公开出让公正性的；</w:t>
      </w:r>
    </w:p>
    <w:p w14:paraId="0E071301">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4、应当依法中（终）止公开出让活动的其他情形。</w:t>
      </w:r>
    </w:p>
    <w:p w14:paraId="42F91EA0">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竞得人有下列行为的视为违约，视为违约，挂牌人可取消其竞得人资格，竞买保证金不予退还：</w:t>
      </w:r>
    </w:p>
    <w:p w14:paraId="4AAC19B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1、竞得人逾期或拒绝签订《成交确认书》的；</w:t>
      </w:r>
    </w:p>
    <w:p w14:paraId="474AF5B8">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2、竞得人逾期或拒绝签订《国有建设用地使用权出让合同》的；</w:t>
      </w:r>
    </w:p>
    <w:p w14:paraId="3842B4A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十一</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60" w:lineRule="exact"/>
        <w:ind w:left="160" w:leftChars="76" w:firstLine="480" w:firstLineChars="15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60" w:lineRule="exact"/>
        <w:ind w:firstLine="320" w:firstLineChars="100"/>
        <w:jc w:val="both"/>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48D96385">
      <w:pPr>
        <w:keepNext w:val="0"/>
        <w:keepLines w:val="0"/>
        <w:pageBreakBefore w:val="0"/>
        <w:widowControl w:val="0"/>
        <w:kinsoku/>
        <w:wordWrap/>
        <w:overflowPunct/>
        <w:autoSpaceDE/>
        <w:autoSpaceDN/>
        <w:bidi w:val="0"/>
        <w:adjustRightInd/>
        <w:spacing w:line="560" w:lineRule="exact"/>
        <w:ind w:firstLine="320" w:firstLineChars="1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挂牌人：黄石经济技术开发区·铁山区公共资源交易中心</w:t>
      </w:r>
    </w:p>
    <w:p w14:paraId="5EF9F5FC">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p>
    <w:p w14:paraId="4F7AD705">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202</w:t>
      </w:r>
      <w:r>
        <w:rPr>
          <w:rFonts w:hint="eastAsia" w:ascii="仿宋_GB2312" w:hAnsi="仿宋_GB2312" w:eastAsia="仿宋_GB2312" w:cs="仿宋_GB2312"/>
          <w:sz w:val="32"/>
          <w:szCs w:val="24"/>
          <w:lang w:val="en-US" w:eastAsia="zh-CN"/>
        </w:rPr>
        <w:t>6</w:t>
      </w:r>
      <w:r>
        <w:rPr>
          <w:rFonts w:hint="eastAsia" w:ascii="仿宋_GB2312" w:hAnsi="仿宋_GB2312" w:eastAsia="仿宋_GB2312" w:cs="仿宋_GB2312"/>
          <w:sz w:val="32"/>
          <w:szCs w:val="24"/>
        </w:rPr>
        <w:t>年</w:t>
      </w:r>
      <w:r>
        <w:rPr>
          <w:rFonts w:hint="eastAsia" w:ascii="仿宋_GB2312" w:hAnsi="仿宋_GB2312" w:eastAsia="仿宋_GB2312" w:cs="仿宋_GB2312"/>
          <w:sz w:val="32"/>
          <w:szCs w:val="24"/>
          <w:lang w:val="en-US" w:eastAsia="zh-CN"/>
        </w:rPr>
        <w:t>7</w:t>
      </w:r>
      <w:r>
        <w:rPr>
          <w:rFonts w:hint="eastAsia" w:ascii="仿宋_GB2312" w:hAnsi="仿宋_GB2312" w:eastAsia="仿宋_GB2312" w:cs="仿宋_GB2312"/>
          <w:sz w:val="32"/>
          <w:szCs w:val="24"/>
        </w:rPr>
        <w:t>月</w:t>
      </w:r>
      <w:r>
        <w:rPr>
          <w:rFonts w:hint="eastAsia" w:ascii="仿宋_GB2312" w:hAnsi="仿宋_GB2312" w:eastAsia="仿宋_GB2312" w:cs="仿宋_GB2312"/>
          <w:sz w:val="32"/>
          <w:szCs w:val="24"/>
          <w:lang w:val="en-US" w:eastAsia="zh-CN"/>
        </w:rPr>
        <w:t>7</w:t>
      </w:r>
      <w:r>
        <w:rPr>
          <w:rFonts w:hint="eastAsia" w:ascii="仿宋_GB2312" w:hAnsi="仿宋_GB2312" w:eastAsia="仿宋_GB2312" w:cs="仿宋_GB2312"/>
          <w:sz w:val="32"/>
          <w:szCs w:val="24"/>
        </w:rPr>
        <w:t>日</w:t>
      </w:r>
      <w:bookmarkStart w:id="0" w:name="_GoBack"/>
      <w:bookmarkEnd w:id="0"/>
    </w:p>
    <w:p w14:paraId="50FE72C8">
      <w:pPr>
        <w:rPr>
          <w:rFonts w:ascii="Times New Roman" w:hAnsi="Times New Roman" w:eastAsia="仿宋_GB2312" w:cs="Times New Roman"/>
          <w:sz w:val="32"/>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FBD2D33"/>
    <w:rsid w:val="0FFC699D"/>
    <w:rsid w:val="14E626FA"/>
    <w:rsid w:val="170F61FF"/>
    <w:rsid w:val="1D144419"/>
    <w:rsid w:val="1F0B1E70"/>
    <w:rsid w:val="1FF42E04"/>
    <w:rsid w:val="21A34113"/>
    <w:rsid w:val="21D95D87"/>
    <w:rsid w:val="233419C8"/>
    <w:rsid w:val="234D1F10"/>
    <w:rsid w:val="24994871"/>
    <w:rsid w:val="26E86B9F"/>
    <w:rsid w:val="273807F7"/>
    <w:rsid w:val="2A1E615D"/>
    <w:rsid w:val="2BC929C8"/>
    <w:rsid w:val="2BD8775D"/>
    <w:rsid w:val="317A07B3"/>
    <w:rsid w:val="34CF1DAC"/>
    <w:rsid w:val="375F127B"/>
    <w:rsid w:val="381551E7"/>
    <w:rsid w:val="3966114F"/>
    <w:rsid w:val="40A67D91"/>
    <w:rsid w:val="42844C60"/>
    <w:rsid w:val="43182221"/>
    <w:rsid w:val="44120C62"/>
    <w:rsid w:val="49C268F4"/>
    <w:rsid w:val="4DAC59AE"/>
    <w:rsid w:val="517A638F"/>
    <w:rsid w:val="51CE66DB"/>
    <w:rsid w:val="51E3677B"/>
    <w:rsid w:val="526112FD"/>
    <w:rsid w:val="540E62EE"/>
    <w:rsid w:val="541A79B6"/>
    <w:rsid w:val="54C87412"/>
    <w:rsid w:val="5A1804F3"/>
    <w:rsid w:val="5B3203DE"/>
    <w:rsid w:val="5C3F0723"/>
    <w:rsid w:val="5C86208C"/>
    <w:rsid w:val="5D1A51E2"/>
    <w:rsid w:val="60A35F5F"/>
    <w:rsid w:val="60A94DEF"/>
    <w:rsid w:val="60D61546"/>
    <w:rsid w:val="62F1305D"/>
    <w:rsid w:val="642108EC"/>
    <w:rsid w:val="661E1587"/>
    <w:rsid w:val="6703077D"/>
    <w:rsid w:val="672F3320"/>
    <w:rsid w:val="674A015A"/>
    <w:rsid w:val="6766579A"/>
    <w:rsid w:val="68E11452"/>
    <w:rsid w:val="68EF31E5"/>
    <w:rsid w:val="6A184540"/>
    <w:rsid w:val="6AD828AA"/>
    <w:rsid w:val="6C430463"/>
    <w:rsid w:val="73E7745D"/>
    <w:rsid w:val="7491538B"/>
    <w:rsid w:val="75E749C9"/>
    <w:rsid w:val="766906C3"/>
    <w:rsid w:val="78267E28"/>
    <w:rsid w:val="79580ABF"/>
    <w:rsid w:val="79BF0551"/>
    <w:rsid w:val="79E96935"/>
    <w:rsid w:val="7AC126DF"/>
    <w:rsid w:val="7F480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5363</Words>
  <Characters>5570</Characters>
  <Lines>47</Lines>
  <Paragraphs>13</Paragraphs>
  <TotalTime>2</TotalTime>
  <ScaleCrop>false</ScaleCrop>
  <LinksUpToDate>false</LinksUpToDate>
  <CharactersWithSpaces>5581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区公共资源交易中心</cp:lastModifiedBy>
  <cp:lastPrinted>2026-07-06T01:33:02Z</cp:lastPrinted>
  <dcterms:modified xsi:type="dcterms:W3CDTF">2026-07-06T01:33:16Z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2052-12.1.0.26895</vt:lpwstr>
  </property>
  <property fmtid="{D5CDD505-2E9C-101B-9397-08002B2CF9AE}" pid="4" name="ICV">
    <vt:lpwstr>F7BB380C233E4ACA93C714EADA4F3171_13</vt:lpwstr>
  </property>
</Properties>
</file>